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44" w:rsidRPr="003926EF" w:rsidRDefault="00E44544" w:rsidP="00397E84">
      <w:pPr>
        <w:spacing w:before="120" w:after="0" w:line="240" w:lineRule="auto"/>
        <w:mirrorIndents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CC0582" w:rsidRPr="003926EF" w:rsidRDefault="00CC0582" w:rsidP="00397E84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horzAnchor="margin" w:tblpXSpec="center" w:tblpY="204"/>
        <w:tblW w:w="10349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CC0582" w:rsidRPr="00DD484C" w:rsidTr="00CC0582">
        <w:trPr>
          <w:cantSplit/>
          <w:trHeight w:val="239"/>
        </w:trPr>
        <w:tc>
          <w:tcPr>
            <w:tcW w:w="10349" w:type="dxa"/>
          </w:tcPr>
          <w:p w:rsidR="00CC0582" w:rsidRPr="00DD484C" w:rsidRDefault="00CC0582" w:rsidP="00DD484C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D484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CC0582" w:rsidRPr="00DD484C" w:rsidTr="00CC0582">
        <w:trPr>
          <w:cantSplit/>
          <w:trHeight w:val="239"/>
        </w:trPr>
        <w:tc>
          <w:tcPr>
            <w:tcW w:w="10349" w:type="dxa"/>
          </w:tcPr>
          <w:p w:rsidR="00CC0582" w:rsidRPr="00DD484C" w:rsidRDefault="00CC0582" w:rsidP="00DD484C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D484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 Договору платежного агента</w:t>
            </w:r>
          </w:p>
        </w:tc>
      </w:tr>
      <w:tr w:rsidR="00CC0582" w:rsidRPr="00DD484C" w:rsidTr="00CC0582">
        <w:trPr>
          <w:cantSplit/>
          <w:trHeight w:val="141"/>
        </w:trPr>
        <w:tc>
          <w:tcPr>
            <w:tcW w:w="10349" w:type="dxa"/>
          </w:tcPr>
          <w:p w:rsidR="00CC0582" w:rsidRPr="00DD484C" w:rsidRDefault="00CC0582" w:rsidP="00DD484C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D484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 __________ от «___» ___________ 20___ г.</w:t>
            </w:r>
          </w:p>
        </w:tc>
      </w:tr>
    </w:tbl>
    <w:p w:rsidR="00E44544" w:rsidRPr="003926EF" w:rsidRDefault="00E44544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Тарифы оплаты услуг </w:t>
      </w:r>
      <w:r w:rsidR="005F1A94"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НКО АО НРД</w:t>
      </w: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по договорам платежного агента при обслуживании эмитентов </w:t>
      </w:r>
      <w:r w:rsidRPr="003926EF">
        <w:rPr>
          <w:rFonts w:ascii="Tahoma" w:eastAsia="Times New Roman" w:hAnsi="Tahoma" w:cs="Tahoma"/>
          <w:b/>
          <w:bCs/>
          <w:iCs/>
          <w:sz w:val="24"/>
          <w:szCs w:val="24"/>
          <w:lang w:eastAsia="ru-RU"/>
        </w:rPr>
        <w:t>Облигаций</w:t>
      </w:r>
    </w:p>
    <w:p w:rsidR="00E44544" w:rsidRPr="003926EF" w:rsidRDefault="00E44544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3926EF" w:rsidRDefault="00E44544" w:rsidP="00397E84">
      <w:pPr>
        <w:spacing w:after="0" w:line="240" w:lineRule="auto"/>
        <w:mirrorIndents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Шкала ставок вознаграждения (С) по видам </w:t>
      </w:r>
      <w:r w:rsidRPr="003926EF">
        <w:rPr>
          <w:rFonts w:ascii="Tahoma" w:eastAsia="Times New Roman" w:hAnsi="Tahoma" w:cs="Tahoma"/>
          <w:b/>
          <w:bCs/>
          <w:i/>
          <w:iCs/>
          <w:sz w:val="24"/>
          <w:szCs w:val="24"/>
          <w:lang w:eastAsia="ru-RU"/>
        </w:rPr>
        <w:t>Облигаций</w:t>
      </w:r>
    </w:p>
    <w:p w:rsidR="00E44544" w:rsidRDefault="00E44544" w:rsidP="00397E84">
      <w:pPr>
        <w:spacing w:after="0" w:line="240" w:lineRule="auto"/>
        <w:mirrorIndents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(в процентах от </w:t>
      </w:r>
      <w:r w:rsidRPr="003926EF">
        <w:rPr>
          <w:rFonts w:ascii="Tahoma" w:eastAsia="Times New Roman" w:hAnsi="Tahoma" w:cs="Tahoma"/>
          <w:b/>
          <w:bCs/>
          <w:i/>
          <w:iCs/>
          <w:sz w:val="24"/>
          <w:szCs w:val="24"/>
          <w:lang w:eastAsia="ru-RU"/>
        </w:rPr>
        <w:t xml:space="preserve">Суммы к распределению, </w:t>
      </w: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без НДС)</w:t>
      </w:r>
    </w:p>
    <w:p w:rsidR="00174640" w:rsidRPr="003926EF" w:rsidRDefault="00174640" w:rsidP="00397E84">
      <w:pPr>
        <w:spacing w:after="0" w:line="240" w:lineRule="auto"/>
        <w:mirrorIndents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8"/>
        <w:gridCol w:w="1417"/>
        <w:gridCol w:w="1418"/>
        <w:gridCol w:w="1701"/>
        <w:gridCol w:w="1842"/>
      </w:tblGrid>
      <w:tr w:rsidR="00E44544" w:rsidRPr="00EB5D84" w:rsidTr="00EB5D84">
        <w:trPr>
          <w:cantSplit/>
          <w:trHeight w:val="349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lang w:eastAsia="ru-RU"/>
              </w:rPr>
              <w:t> </w:t>
            </w: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 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Группы Облигаций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Величина </w:t>
            </w:r>
            <w:r w:rsidRPr="00EB5D84"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  <w:t>Суммы к распределению</w:t>
            </w: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 (Д)</w:t>
            </w:r>
          </w:p>
        </w:tc>
      </w:tr>
      <w:tr w:rsidR="008D58E2" w:rsidRPr="00EB5D84" w:rsidTr="00EB5D84">
        <w:trPr>
          <w:cantSplit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EF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Более 6 до 50 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млн. 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EF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Более 50 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до 1 000 млн.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Более 1 000 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до 5 000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Более 5 000 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до 8 000 млн. 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Более 8 000 млн. руб.</w:t>
            </w:r>
          </w:p>
        </w:tc>
      </w:tr>
      <w:tr w:rsidR="008D58E2" w:rsidRPr="00EB5D84" w:rsidTr="00EB5D8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  <w:t>Группа 1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</w:pPr>
            <w:r w:rsidRPr="00EB5D84">
              <w:rPr>
                <w:rFonts w:ascii="Tahoma" w:eastAsia="Times New Roman" w:hAnsi="Tahoma" w:cs="Tahoma"/>
                <w:lang w:eastAsia="ru-RU"/>
              </w:rPr>
              <w:t>- Корпоративные облигации</w:t>
            </w: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0,013%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0,010%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lang w:eastAsia="ru-RU"/>
              </w:rPr>
            </w:pPr>
            <w:r w:rsidRPr="00EB5D84">
              <w:rPr>
                <w:rFonts w:ascii="Tahoma" w:eastAsia="Times New Roman" w:hAnsi="Tahoma" w:cs="Tahoma"/>
                <w:lang w:eastAsia="ru-RU"/>
              </w:rPr>
              <w:t>не более 1,5 млн. руб.</w:t>
            </w:r>
          </w:p>
        </w:tc>
      </w:tr>
      <w:tr w:rsidR="008D58E2" w:rsidRPr="00EB5D84" w:rsidTr="00EB5D8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  <w:t>Группа 2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 </w:t>
            </w:r>
            <w:r w:rsidRPr="00EB5D84">
              <w:rPr>
                <w:rFonts w:ascii="Tahoma" w:eastAsia="Times New Roman" w:hAnsi="Tahoma" w:cs="Tahoma"/>
                <w:lang w:eastAsia="ru-RU"/>
              </w:rPr>
              <w:t>- Облигации Банка России со сроком обращения более 1 года, субфедеральные и муниципальные облигации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0,010%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0,008% 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lang w:eastAsia="ru-RU"/>
              </w:rPr>
            </w:pPr>
            <w:r w:rsidRPr="00EB5D84">
              <w:rPr>
                <w:rFonts w:ascii="Tahoma" w:eastAsia="Times New Roman" w:hAnsi="Tahoma" w:cs="Tahoma"/>
                <w:lang w:eastAsia="ru-RU"/>
              </w:rPr>
              <w:t>не более 1,2 млн. руб.</w:t>
            </w:r>
          </w:p>
        </w:tc>
      </w:tr>
      <w:tr w:rsidR="008D58E2" w:rsidRPr="00EB5D84" w:rsidTr="00EB5D8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  <w:t>Группа 3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i/>
                <w:i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 </w:t>
            </w:r>
            <w:r w:rsidRPr="00EB5D84">
              <w:rPr>
                <w:rFonts w:ascii="Tahoma" w:eastAsia="Times New Roman" w:hAnsi="Tahoma" w:cs="Tahoma"/>
                <w:lang w:eastAsia="ru-RU"/>
              </w:rPr>
              <w:t>- Облигации Банка России со сроком обращения до одного года включительно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0,008%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>0,006%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lang w:eastAsia="ru-RU"/>
              </w:rPr>
            </w:pPr>
            <w:r w:rsidRPr="00EB5D84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0,005% </w:t>
            </w:r>
          </w:p>
          <w:p w:rsidR="00E44544" w:rsidRPr="00EB5D84" w:rsidRDefault="00E44544" w:rsidP="003926EF">
            <w:pPr>
              <w:spacing w:after="0" w:line="240" w:lineRule="auto"/>
              <w:mirrorIndents/>
              <w:rPr>
                <w:rFonts w:ascii="Tahoma" w:eastAsia="Times New Roman" w:hAnsi="Tahoma" w:cs="Tahoma"/>
                <w:lang w:eastAsia="ru-RU"/>
              </w:rPr>
            </w:pPr>
            <w:r w:rsidRPr="00EB5D84">
              <w:rPr>
                <w:rFonts w:ascii="Tahoma" w:eastAsia="Times New Roman" w:hAnsi="Tahoma" w:cs="Tahoma"/>
                <w:lang w:eastAsia="ru-RU"/>
              </w:rPr>
              <w:t xml:space="preserve">не более 0,5 млн. руб. </w:t>
            </w:r>
          </w:p>
        </w:tc>
      </w:tr>
    </w:tbl>
    <w:p w:rsidR="00E44544" w:rsidRPr="003926EF" w:rsidRDefault="00E44544" w:rsidP="00397E84">
      <w:pPr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Для </w:t>
      </w:r>
      <w:r w:rsidRPr="003926EF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Суммы к распределению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до 6 (шести) млн. рублей вознаграждение </w:t>
      </w:r>
      <w:r w:rsidR="005F1A94" w:rsidRPr="003926EF">
        <w:rPr>
          <w:rFonts w:ascii="Tahoma" w:eastAsia="Times New Roman" w:hAnsi="Tahoma" w:cs="Tahoma"/>
          <w:sz w:val="24"/>
          <w:szCs w:val="24"/>
          <w:lang w:eastAsia="ru-RU"/>
        </w:rPr>
        <w:t>НКО АО НРД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составляет 1500 (одна тысяча пятьсот) рублей (без учета НДС).</w:t>
      </w:r>
    </w:p>
    <w:p w:rsidR="00E44544" w:rsidRPr="003926EF" w:rsidRDefault="00E44544" w:rsidP="00397E84">
      <w:pPr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Вознаграждение </w:t>
      </w:r>
      <w:r w:rsidR="005F1A94" w:rsidRPr="003926EF">
        <w:rPr>
          <w:rFonts w:ascii="Tahoma" w:eastAsia="Times New Roman" w:hAnsi="Tahoma" w:cs="Tahoma"/>
          <w:sz w:val="24"/>
          <w:szCs w:val="24"/>
          <w:lang w:eastAsia="ru-RU"/>
        </w:rPr>
        <w:t>НКО АО НРД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без учета НДС (</w:t>
      </w: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>) определяется по каждой выплате по выпуску Облигаций по формуле:</w:t>
      </w:r>
    </w:p>
    <w:p w:rsidR="00E44544" w:rsidRPr="003926EF" w:rsidRDefault="00E44544" w:rsidP="00397E84">
      <w:pPr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= </w:t>
      </w: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* </w:t>
      </w: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Д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, где </w:t>
      </w:r>
    </w:p>
    <w:p w:rsidR="00E44544" w:rsidRPr="003926EF" w:rsidRDefault="00E44544" w:rsidP="00397E84">
      <w:pPr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– ставка вознаграждения </w:t>
      </w:r>
      <w:r w:rsidR="005F1A94" w:rsidRPr="003926EF">
        <w:rPr>
          <w:rFonts w:ascii="Tahoma" w:eastAsia="Times New Roman" w:hAnsi="Tahoma" w:cs="Tahoma"/>
          <w:sz w:val="24"/>
          <w:szCs w:val="24"/>
          <w:lang w:eastAsia="ru-RU"/>
        </w:rPr>
        <w:t>НКО АО НРД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в процентах за одно перечисление, осуществляемое </w:t>
      </w:r>
      <w:r w:rsidR="005F1A94" w:rsidRPr="003926EF">
        <w:rPr>
          <w:rFonts w:ascii="Tahoma" w:eastAsia="Times New Roman" w:hAnsi="Tahoma" w:cs="Tahoma"/>
          <w:sz w:val="24"/>
          <w:szCs w:val="24"/>
          <w:lang w:eastAsia="ru-RU"/>
        </w:rPr>
        <w:t>НКО АО НРД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по поручению эмитента по выпуску Облигаций по договору платежного агента;</w:t>
      </w:r>
    </w:p>
    <w:p w:rsidR="00E44544" w:rsidRPr="003926EF" w:rsidRDefault="00E44544" w:rsidP="00397E84">
      <w:pPr>
        <w:spacing w:before="120" w:after="0" w:line="240" w:lineRule="auto"/>
        <w:mirrorIndents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Д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– </w:t>
      </w:r>
      <w:r w:rsidRPr="003926EF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Сумма к распределению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в рублях.</w:t>
      </w: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Термины и сокращения, использованные в настоящих Тарифах:</w:t>
      </w: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b/>
          <w:bCs/>
          <w:i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b/>
          <w:bCs/>
          <w:iCs/>
          <w:sz w:val="24"/>
          <w:szCs w:val="24"/>
          <w:lang w:eastAsia="ru-RU"/>
        </w:rPr>
        <w:lastRenderedPageBreak/>
        <w:t>Облигации</w:t>
      </w:r>
      <w:r w:rsidRPr="003926EF">
        <w:rPr>
          <w:rFonts w:ascii="Tahoma" w:eastAsia="Times New Roman" w:hAnsi="Tahoma" w:cs="Tahoma"/>
          <w:b/>
          <w:bCs/>
          <w:i/>
          <w:sz w:val="24"/>
          <w:szCs w:val="24"/>
          <w:lang w:eastAsia="ru-RU"/>
        </w:rPr>
        <w:t xml:space="preserve"> - облигации, выпущенные в документарной форме с обязательным централизованным хранением в </w:t>
      </w:r>
      <w:r w:rsidR="005F1A94" w:rsidRPr="003926EF">
        <w:rPr>
          <w:rFonts w:ascii="Tahoma" w:eastAsia="Times New Roman" w:hAnsi="Tahoma" w:cs="Tahoma"/>
          <w:b/>
          <w:bCs/>
          <w:i/>
          <w:sz w:val="24"/>
          <w:szCs w:val="24"/>
          <w:lang w:eastAsia="ru-RU"/>
        </w:rPr>
        <w:t>НКО АО НРД</w:t>
      </w:r>
      <w:r w:rsidRPr="003926EF">
        <w:rPr>
          <w:rFonts w:ascii="Tahoma" w:eastAsia="Times New Roman" w:hAnsi="Tahoma" w:cs="Tahoma"/>
          <w:b/>
          <w:bCs/>
          <w:i/>
          <w:sz w:val="24"/>
          <w:szCs w:val="24"/>
          <w:lang w:eastAsia="ru-RU"/>
        </w:rPr>
        <w:t xml:space="preserve"> сертификата, оформленного на весь объем выпуска.</w:t>
      </w: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 xml:space="preserve">Сумма к распределению 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- сумма денежных средств, поступивших от эмитента облигаций для перечисления депонентам </w:t>
      </w:r>
      <w:r w:rsidR="005F1A94" w:rsidRPr="003926EF">
        <w:rPr>
          <w:rFonts w:ascii="Tahoma" w:eastAsia="Times New Roman" w:hAnsi="Tahoma" w:cs="Tahoma"/>
          <w:sz w:val="24"/>
          <w:szCs w:val="24"/>
          <w:lang w:eastAsia="ru-RU"/>
        </w:rPr>
        <w:t>НКО АО НРД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Группа 1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-  Корпоративные облигации.</w:t>
      </w: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Группа 2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- Облигации Банка России со сроком обращения более 1 года, субфедеральные и муниципальные облигации.</w:t>
      </w: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Группа 3</w:t>
      </w:r>
      <w:r w:rsidRPr="003926EF">
        <w:rPr>
          <w:rFonts w:ascii="Tahoma" w:eastAsia="Times New Roman" w:hAnsi="Tahoma" w:cs="Tahoma"/>
          <w:sz w:val="24"/>
          <w:szCs w:val="24"/>
          <w:lang w:eastAsia="ru-RU"/>
        </w:rPr>
        <w:t xml:space="preserve"> - Облигации Банка России со сроком обращения до одного года включительно.</w:t>
      </w:r>
    </w:p>
    <w:p w:rsidR="000948B9" w:rsidRPr="00CC0582" w:rsidRDefault="000948B9" w:rsidP="00397E84">
      <w:pPr>
        <w:spacing w:before="120" w:after="0" w:line="240" w:lineRule="auto"/>
        <w:mirrorIndents/>
        <w:jc w:val="right"/>
        <w:rPr>
          <w:rFonts w:ascii="Tahoma" w:hAnsi="Tahoma" w:cs="Tahoma"/>
          <w:sz w:val="24"/>
          <w:szCs w:val="24"/>
        </w:rPr>
      </w:pPr>
    </w:p>
    <w:sectPr w:rsidR="000948B9" w:rsidRPr="00CC0582" w:rsidSect="00F0348C">
      <w:footerReference w:type="default" r:id="rId8"/>
      <w:pgSz w:w="11906" w:h="16838" w:code="9"/>
      <w:pgMar w:top="851" w:right="849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FA" w:rsidRDefault="00FC64FA" w:rsidP="00CD648A">
      <w:pPr>
        <w:spacing w:after="0" w:line="240" w:lineRule="auto"/>
      </w:pPr>
      <w:r>
        <w:separator/>
      </w:r>
    </w:p>
  </w:endnote>
  <w:endnote w:type="continuationSeparator" w:id="0">
    <w:p w:rsidR="00FC64FA" w:rsidRDefault="00FC64FA" w:rsidP="00CD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9E" w:rsidRDefault="00C9619E" w:rsidP="00F0348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A33A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FA" w:rsidRDefault="00FC64FA" w:rsidP="00CD648A">
      <w:pPr>
        <w:spacing w:after="0" w:line="240" w:lineRule="auto"/>
      </w:pPr>
      <w:r>
        <w:separator/>
      </w:r>
    </w:p>
  </w:footnote>
  <w:footnote w:type="continuationSeparator" w:id="0">
    <w:p w:rsidR="00FC64FA" w:rsidRDefault="00FC64FA" w:rsidP="00CD6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345"/>
    <w:multiLevelType w:val="multilevel"/>
    <w:tmpl w:val="040C87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5359B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101E1260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5BA"/>
    <w:multiLevelType w:val="hybridMultilevel"/>
    <w:tmpl w:val="42E8179E"/>
    <w:lvl w:ilvl="0" w:tplc="714C08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D303BC"/>
    <w:multiLevelType w:val="hybridMultilevel"/>
    <w:tmpl w:val="E87C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25DA"/>
    <w:multiLevelType w:val="hybridMultilevel"/>
    <w:tmpl w:val="C3E6C8BA"/>
    <w:lvl w:ilvl="0" w:tplc="248A2640">
      <w:start w:val="2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27C0215D"/>
    <w:multiLevelType w:val="hybridMultilevel"/>
    <w:tmpl w:val="DF545E2C"/>
    <w:lvl w:ilvl="0" w:tplc="1D2ED62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9E31EFA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2DE031D3"/>
    <w:multiLevelType w:val="hybridMultilevel"/>
    <w:tmpl w:val="269E0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E2289"/>
    <w:multiLevelType w:val="multilevel"/>
    <w:tmpl w:val="AA7CF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903F79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35A41C10"/>
    <w:multiLevelType w:val="hybridMultilevel"/>
    <w:tmpl w:val="A0CAE3C8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0438EF"/>
    <w:multiLevelType w:val="hybridMultilevel"/>
    <w:tmpl w:val="281AC630"/>
    <w:lvl w:ilvl="0" w:tplc="63B0E7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96C31DE"/>
    <w:multiLevelType w:val="hybridMultilevel"/>
    <w:tmpl w:val="DBAA8ADA"/>
    <w:lvl w:ilvl="0" w:tplc="0638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8B3FFB"/>
    <w:multiLevelType w:val="multilevel"/>
    <w:tmpl w:val="D668FF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FF5522"/>
    <w:multiLevelType w:val="singleLevel"/>
    <w:tmpl w:val="769A4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FAF5A90"/>
    <w:multiLevelType w:val="singleLevel"/>
    <w:tmpl w:val="FCAA9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7" w15:restartNumberingAfterBreak="0">
    <w:nsid w:val="452307DC"/>
    <w:multiLevelType w:val="multilevel"/>
    <w:tmpl w:val="D4F449C8"/>
    <w:lvl w:ilvl="0">
      <w:start w:val="3"/>
      <w:numFmt w:val="decimal"/>
      <w:lvlText w:val="%1."/>
      <w:lvlJc w:val="left"/>
      <w:pPr>
        <w:ind w:left="408" w:hanging="408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BC74336"/>
    <w:multiLevelType w:val="hybridMultilevel"/>
    <w:tmpl w:val="6FA6D0A6"/>
    <w:lvl w:ilvl="0" w:tplc="4ED6C9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4E1121B7"/>
    <w:multiLevelType w:val="hybridMultilevel"/>
    <w:tmpl w:val="D4D6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C584D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D21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6E563A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2FDE"/>
    <w:multiLevelType w:val="hybridMultilevel"/>
    <w:tmpl w:val="33B2BE82"/>
    <w:lvl w:ilvl="0" w:tplc="65B64C6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F2A0744"/>
    <w:multiLevelType w:val="hybridMultilevel"/>
    <w:tmpl w:val="E06C2032"/>
    <w:lvl w:ilvl="0" w:tplc="4ED6C9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0004A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17365"/>
    <w:multiLevelType w:val="hybridMultilevel"/>
    <w:tmpl w:val="160C073A"/>
    <w:lvl w:ilvl="0" w:tplc="2EACE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362027"/>
    <w:multiLevelType w:val="singleLevel"/>
    <w:tmpl w:val="769A4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6A33C0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655818"/>
    <w:multiLevelType w:val="singleLevel"/>
    <w:tmpl w:val="1D06F276"/>
    <w:lvl w:ilvl="0">
      <w:start w:val="27"/>
      <w:numFmt w:val="bullet"/>
      <w:lvlText w:val="-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7CAE6F51"/>
    <w:multiLevelType w:val="multilevel"/>
    <w:tmpl w:val="0C82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63775C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F41449"/>
    <w:multiLevelType w:val="hybridMultilevel"/>
    <w:tmpl w:val="0642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13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2"/>
  </w:num>
  <w:num w:numId="10">
    <w:abstractNumId w:val="22"/>
  </w:num>
  <w:num w:numId="11">
    <w:abstractNumId w:val="25"/>
  </w:num>
  <w:num w:numId="12">
    <w:abstractNumId w:val="32"/>
  </w:num>
  <w:num w:numId="13">
    <w:abstractNumId w:val="20"/>
  </w:num>
  <w:num w:numId="14">
    <w:abstractNumId w:val="29"/>
  </w:num>
  <w:num w:numId="15">
    <w:abstractNumId w:val="3"/>
  </w:num>
  <w:num w:numId="16">
    <w:abstractNumId w:val="33"/>
  </w:num>
  <w:num w:numId="17">
    <w:abstractNumId w:val="19"/>
  </w:num>
  <w:num w:numId="18">
    <w:abstractNumId w:val="18"/>
  </w:num>
  <w:num w:numId="19">
    <w:abstractNumId w:val="24"/>
  </w:num>
  <w:num w:numId="20">
    <w:abstractNumId w:val="27"/>
  </w:num>
  <w:num w:numId="21">
    <w:abstractNumId w:val="15"/>
  </w:num>
  <w:num w:numId="22">
    <w:abstractNumId w:val="28"/>
  </w:num>
  <w:num w:numId="23">
    <w:abstractNumId w:val="30"/>
  </w:num>
  <w:num w:numId="24">
    <w:abstractNumId w:val="7"/>
  </w:num>
  <w:num w:numId="25">
    <w:abstractNumId w:val="1"/>
  </w:num>
  <w:num w:numId="26">
    <w:abstractNumId w:val="10"/>
  </w:num>
  <w:num w:numId="27">
    <w:abstractNumId w:val="16"/>
  </w:num>
  <w:num w:numId="28">
    <w:abstractNumId w:val="11"/>
  </w:num>
  <w:num w:numId="29">
    <w:abstractNumId w:val="21"/>
  </w:num>
  <w:num w:numId="30">
    <w:abstractNumId w:val="5"/>
  </w:num>
  <w:num w:numId="31">
    <w:abstractNumId w:val="9"/>
  </w:num>
  <w:num w:numId="32">
    <w:abstractNumId w:val="14"/>
  </w:num>
  <w:num w:numId="33">
    <w:abstractNumId w:val="0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93"/>
    <w:rsid w:val="0000055B"/>
    <w:rsid w:val="00005DDC"/>
    <w:rsid w:val="00021CA9"/>
    <w:rsid w:val="00023BC7"/>
    <w:rsid w:val="00036A5F"/>
    <w:rsid w:val="00040930"/>
    <w:rsid w:val="0005206F"/>
    <w:rsid w:val="0006064C"/>
    <w:rsid w:val="000621B4"/>
    <w:rsid w:val="00063427"/>
    <w:rsid w:val="000948B9"/>
    <w:rsid w:val="00096156"/>
    <w:rsid w:val="000A4DB2"/>
    <w:rsid w:val="000A7F80"/>
    <w:rsid w:val="000B3416"/>
    <w:rsid w:val="000B4CC9"/>
    <w:rsid w:val="000D2F3E"/>
    <w:rsid w:val="000D63B2"/>
    <w:rsid w:val="000E478C"/>
    <w:rsid w:val="000F4D47"/>
    <w:rsid w:val="001006E6"/>
    <w:rsid w:val="001044FC"/>
    <w:rsid w:val="001120BB"/>
    <w:rsid w:val="00115820"/>
    <w:rsid w:val="001222C5"/>
    <w:rsid w:val="00122351"/>
    <w:rsid w:val="00141A09"/>
    <w:rsid w:val="001474A1"/>
    <w:rsid w:val="00156B1C"/>
    <w:rsid w:val="00174640"/>
    <w:rsid w:val="00175707"/>
    <w:rsid w:val="00176F2A"/>
    <w:rsid w:val="001771E8"/>
    <w:rsid w:val="00180E18"/>
    <w:rsid w:val="00191ACE"/>
    <w:rsid w:val="00194985"/>
    <w:rsid w:val="001967B6"/>
    <w:rsid w:val="001972E6"/>
    <w:rsid w:val="001A3445"/>
    <w:rsid w:val="001B2A64"/>
    <w:rsid w:val="001B71A0"/>
    <w:rsid w:val="001C42EB"/>
    <w:rsid w:val="001C54A8"/>
    <w:rsid w:val="001D5492"/>
    <w:rsid w:val="001D64D2"/>
    <w:rsid w:val="001E188C"/>
    <w:rsid w:val="001E6E70"/>
    <w:rsid w:val="001F327B"/>
    <w:rsid w:val="001F79F7"/>
    <w:rsid w:val="00207C38"/>
    <w:rsid w:val="00221BA1"/>
    <w:rsid w:val="0022506D"/>
    <w:rsid w:val="002506CB"/>
    <w:rsid w:val="00250B19"/>
    <w:rsid w:val="002574AB"/>
    <w:rsid w:val="002734A6"/>
    <w:rsid w:val="0027560A"/>
    <w:rsid w:val="002759DD"/>
    <w:rsid w:val="00280641"/>
    <w:rsid w:val="002909CD"/>
    <w:rsid w:val="0029577F"/>
    <w:rsid w:val="00296DBB"/>
    <w:rsid w:val="002A3EA1"/>
    <w:rsid w:val="002A7265"/>
    <w:rsid w:val="002B5B9E"/>
    <w:rsid w:val="002B6FE2"/>
    <w:rsid w:val="002C0F1A"/>
    <w:rsid w:val="002C2A0C"/>
    <w:rsid w:val="002E007D"/>
    <w:rsid w:val="002F2A18"/>
    <w:rsid w:val="002F7998"/>
    <w:rsid w:val="0031650A"/>
    <w:rsid w:val="00322BB5"/>
    <w:rsid w:val="00331399"/>
    <w:rsid w:val="00331467"/>
    <w:rsid w:val="0033151D"/>
    <w:rsid w:val="00336361"/>
    <w:rsid w:val="00343889"/>
    <w:rsid w:val="00350C9F"/>
    <w:rsid w:val="00351C66"/>
    <w:rsid w:val="003607DA"/>
    <w:rsid w:val="00370806"/>
    <w:rsid w:val="00372627"/>
    <w:rsid w:val="00374748"/>
    <w:rsid w:val="00375011"/>
    <w:rsid w:val="00375D53"/>
    <w:rsid w:val="00380D9A"/>
    <w:rsid w:val="00385547"/>
    <w:rsid w:val="003904FE"/>
    <w:rsid w:val="00391CE1"/>
    <w:rsid w:val="003926EF"/>
    <w:rsid w:val="00394452"/>
    <w:rsid w:val="00397E84"/>
    <w:rsid w:val="003A4928"/>
    <w:rsid w:val="003C3FC3"/>
    <w:rsid w:val="003D6125"/>
    <w:rsid w:val="003D62F7"/>
    <w:rsid w:val="003E3222"/>
    <w:rsid w:val="003E343F"/>
    <w:rsid w:val="003F28A9"/>
    <w:rsid w:val="003F6EF8"/>
    <w:rsid w:val="003F79FE"/>
    <w:rsid w:val="00403356"/>
    <w:rsid w:val="00404B1B"/>
    <w:rsid w:val="00405E30"/>
    <w:rsid w:val="00406288"/>
    <w:rsid w:val="004077AC"/>
    <w:rsid w:val="00411897"/>
    <w:rsid w:val="0041694A"/>
    <w:rsid w:val="0043487E"/>
    <w:rsid w:val="00435899"/>
    <w:rsid w:val="0044506B"/>
    <w:rsid w:val="00447CDD"/>
    <w:rsid w:val="00451485"/>
    <w:rsid w:val="00452484"/>
    <w:rsid w:val="00452630"/>
    <w:rsid w:val="0045328B"/>
    <w:rsid w:val="004552A3"/>
    <w:rsid w:val="00474491"/>
    <w:rsid w:val="00484D28"/>
    <w:rsid w:val="004A4D6E"/>
    <w:rsid w:val="004A4E69"/>
    <w:rsid w:val="004C665F"/>
    <w:rsid w:val="004E2F9C"/>
    <w:rsid w:val="00502D18"/>
    <w:rsid w:val="00511545"/>
    <w:rsid w:val="00515038"/>
    <w:rsid w:val="005210E2"/>
    <w:rsid w:val="00524EC4"/>
    <w:rsid w:val="005253B6"/>
    <w:rsid w:val="00527364"/>
    <w:rsid w:val="00540516"/>
    <w:rsid w:val="00541207"/>
    <w:rsid w:val="005529E2"/>
    <w:rsid w:val="005554BF"/>
    <w:rsid w:val="005603EB"/>
    <w:rsid w:val="005660A6"/>
    <w:rsid w:val="0056658C"/>
    <w:rsid w:val="00576F9D"/>
    <w:rsid w:val="00577BAD"/>
    <w:rsid w:val="00577C47"/>
    <w:rsid w:val="00580CE3"/>
    <w:rsid w:val="00585586"/>
    <w:rsid w:val="00585997"/>
    <w:rsid w:val="00590270"/>
    <w:rsid w:val="00596CB4"/>
    <w:rsid w:val="005A23DB"/>
    <w:rsid w:val="005A62BE"/>
    <w:rsid w:val="005B4FD9"/>
    <w:rsid w:val="005C36B1"/>
    <w:rsid w:val="005C4C50"/>
    <w:rsid w:val="005D253D"/>
    <w:rsid w:val="005E266B"/>
    <w:rsid w:val="005E5D8D"/>
    <w:rsid w:val="005F1A94"/>
    <w:rsid w:val="005F4D06"/>
    <w:rsid w:val="0061535A"/>
    <w:rsid w:val="00616CE3"/>
    <w:rsid w:val="00625C4E"/>
    <w:rsid w:val="00630773"/>
    <w:rsid w:val="006364B0"/>
    <w:rsid w:val="006378C8"/>
    <w:rsid w:val="0064120F"/>
    <w:rsid w:val="006522B6"/>
    <w:rsid w:val="00660205"/>
    <w:rsid w:val="006613B9"/>
    <w:rsid w:val="00661A30"/>
    <w:rsid w:val="00661C7B"/>
    <w:rsid w:val="006632C1"/>
    <w:rsid w:val="00673C78"/>
    <w:rsid w:val="006860A2"/>
    <w:rsid w:val="006964D3"/>
    <w:rsid w:val="006B6B25"/>
    <w:rsid w:val="006D3DEE"/>
    <w:rsid w:val="006D6110"/>
    <w:rsid w:val="006D63AD"/>
    <w:rsid w:val="006E5730"/>
    <w:rsid w:val="006E7649"/>
    <w:rsid w:val="006E7879"/>
    <w:rsid w:val="006F0A7F"/>
    <w:rsid w:val="006F4634"/>
    <w:rsid w:val="00715D23"/>
    <w:rsid w:val="00723B99"/>
    <w:rsid w:val="0073102C"/>
    <w:rsid w:val="0073649A"/>
    <w:rsid w:val="00740582"/>
    <w:rsid w:val="00741668"/>
    <w:rsid w:val="00742FFD"/>
    <w:rsid w:val="00750880"/>
    <w:rsid w:val="00763B1E"/>
    <w:rsid w:val="00763E03"/>
    <w:rsid w:val="00783B59"/>
    <w:rsid w:val="0078524E"/>
    <w:rsid w:val="00796398"/>
    <w:rsid w:val="007B1351"/>
    <w:rsid w:val="007B21B6"/>
    <w:rsid w:val="007B3726"/>
    <w:rsid w:val="007B3A93"/>
    <w:rsid w:val="007C538A"/>
    <w:rsid w:val="007E084A"/>
    <w:rsid w:val="007E7812"/>
    <w:rsid w:val="007F2130"/>
    <w:rsid w:val="007F6DB3"/>
    <w:rsid w:val="00804862"/>
    <w:rsid w:val="0081640D"/>
    <w:rsid w:val="0084173A"/>
    <w:rsid w:val="008424DC"/>
    <w:rsid w:val="00845B9D"/>
    <w:rsid w:val="00845D1D"/>
    <w:rsid w:val="00860739"/>
    <w:rsid w:val="00863D99"/>
    <w:rsid w:val="00865C5A"/>
    <w:rsid w:val="0087223D"/>
    <w:rsid w:val="00881868"/>
    <w:rsid w:val="00883114"/>
    <w:rsid w:val="00890E2C"/>
    <w:rsid w:val="0089329E"/>
    <w:rsid w:val="008A6062"/>
    <w:rsid w:val="008D00BC"/>
    <w:rsid w:val="008D00C6"/>
    <w:rsid w:val="008D58E2"/>
    <w:rsid w:val="008E132F"/>
    <w:rsid w:val="008E4EBB"/>
    <w:rsid w:val="008F01D5"/>
    <w:rsid w:val="008F1068"/>
    <w:rsid w:val="008F2B60"/>
    <w:rsid w:val="008F5E16"/>
    <w:rsid w:val="00903862"/>
    <w:rsid w:val="00904168"/>
    <w:rsid w:val="009045CA"/>
    <w:rsid w:val="00915833"/>
    <w:rsid w:val="00921972"/>
    <w:rsid w:val="009245DF"/>
    <w:rsid w:val="0092532C"/>
    <w:rsid w:val="0093193A"/>
    <w:rsid w:val="00932C7F"/>
    <w:rsid w:val="00933B30"/>
    <w:rsid w:val="009358EF"/>
    <w:rsid w:val="00935B8D"/>
    <w:rsid w:val="00952AEF"/>
    <w:rsid w:val="00957DE9"/>
    <w:rsid w:val="00966B3A"/>
    <w:rsid w:val="0097378A"/>
    <w:rsid w:val="0097456C"/>
    <w:rsid w:val="009771BA"/>
    <w:rsid w:val="009A453A"/>
    <w:rsid w:val="009A497B"/>
    <w:rsid w:val="009B15BC"/>
    <w:rsid w:val="009B1783"/>
    <w:rsid w:val="009B32E1"/>
    <w:rsid w:val="009B4AAD"/>
    <w:rsid w:val="009B5205"/>
    <w:rsid w:val="009C3471"/>
    <w:rsid w:val="009D0EC8"/>
    <w:rsid w:val="009D5A3D"/>
    <w:rsid w:val="009D7CE8"/>
    <w:rsid w:val="009E2599"/>
    <w:rsid w:val="009E3811"/>
    <w:rsid w:val="009E6D41"/>
    <w:rsid w:val="009F74F2"/>
    <w:rsid w:val="00A04F88"/>
    <w:rsid w:val="00A07831"/>
    <w:rsid w:val="00A13F30"/>
    <w:rsid w:val="00A20F69"/>
    <w:rsid w:val="00A26CF3"/>
    <w:rsid w:val="00A31BF2"/>
    <w:rsid w:val="00A33A03"/>
    <w:rsid w:val="00A41120"/>
    <w:rsid w:val="00A41B11"/>
    <w:rsid w:val="00A44F4D"/>
    <w:rsid w:val="00A51C9A"/>
    <w:rsid w:val="00A527C0"/>
    <w:rsid w:val="00A54B69"/>
    <w:rsid w:val="00A64CE6"/>
    <w:rsid w:val="00A65428"/>
    <w:rsid w:val="00A66CA6"/>
    <w:rsid w:val="00A70986"/>
    <w:rsid w:val="00A71D84"/>
    <w:rsid w:val="00A803AE"/>
    <w:rsid w:val="00A81F9D"/>
    <w:rsid w:val="00A94BC9"/>
    <w:rsid w:val="00AA0262"/>
    <w:rsid w:val="00AA5163"/>
    <w:rsid w:val="00AA73FF"/>
    <w:rsid w:val="00AC05AA"/>
    <w:rsid w:val="00AC37D0"/>
    <w:rsid w:val="00AC7234"/>
    <w:rsid w:val="00AC775C"/>
    <w:rsid w:val="00AE3A85"/>
    <w:rsid w:val="00AF713B"/>
    <w:rsid w:val="00B03C42"/>
    <w:rsid w:val="00B06AE7"/>
    <w:rsid w:val="00B154C8"/>
    <w:rsid w:val="00B15A08"/>
    <w:rsid w:val="00B223ED"/>
    <w:rsid w:val="00B255C7"/>
    <w:rsid w:val="00B27348"/>
    <w:rsid w:val="00B3005B"/>
    <w:rsid w:val="00B31D62"/>
    <w:rsid w:val="00B358C7"/>
    <w:rsid w:val="00B36A49"/>
    <w:rsid w:val="00B37384"/>
    <w:rsid w:val="00B43AD1"/>
    <w:rsid w:val="00B455CE"/>
    <w:rsid w:val="00B55DF0"/>
    <w:rsid w:val="00B610DC"/>
    <w:rsid w:val="00B70D39"/>
    <w:rsid w:val="00B72727"/>
    <w:rsid w:val="00B800E5"/>
    <w:rsid w:val="00B915EA"/>
    <w:rsid w:val="00B9341D"/>
    <w:rsid w:val="00B973F6"/>
    <w:rsid w:val="00BB4C81"/>
    <w:rsid w:val="00BD039B"/>
    <w:rsid w:val="00BD31E9"/>
    <w:rsid w:val="00BE6CAA"/>
    <w:rsid w:val="00BF1B92"/>
    <w:rsid w:val="00BF7E34"/>
    <w:rsid w:val="00C00FAB"/>
    <w:rsid w:val="00C102FD"/>
    <w:rsid w:val="00C14AAC"/>
    <w:rsid w:val="00C14B40"/>
    <w:rsid w:val="00C20E83"/>
    <w:rsid w:val="00C21776"/>
    <w:rsid w:val="00C30207"/>
    <w:rsid w:val="00C334F5"/>
    <w:rsid w:val="00C42D81"/>
    <w:rsid w:val="00C47A50"/>
    <w:rsid w:val="00C47DDB"/>
    <w:rsid w:val="00C50FB2"/>
    <w:rsid w:val="00C564A5"/>
    <w:rsid w:val="00C56CAE"/>
    <w:rsid w:val="00C65BC2"/>
    <w:rsid w:val="00C65FCA"/>
    <w:rsid w:val="00C74CE1"/>
    <w:rsid w:val="00C87D9B"/>
    <w:rsid w:val="00C908AC"/>
    <w:rsid w:val="00C9619E"/>
    <w:rsid w:val="00CB558B"/>
    <w:rsid w:val="00CC0582"/>
    <w:rsid w:val="00CC12D0"/>
    <w:rsid w:val="00CC42A4"/>
    <w:rsid w:val="00CC729C"/>
    <w:rsid w:val="00CD50F8"/>
    <w:rsid w:val="00CD648A"/>
    <w:rsid w:val="00D05363"/>
    <w:rsid w:val="00D05DFD"/>
    <w:rsid w:val="00D067D5"/>
    <w:rsid w:val="00D07A60"/>
    <w:rsid w:val="00D121C0"/>
    <w:rsid w:val="00D15AD5"/>
    <w:rsid w:val="00D36AF3"/>
    <w:rsid w:val="00D4028A"/>
    <w:rsid w:val="00D41A6F"/>
    <w:rsid w:val="00D43377"/>
    <w:rsid w:val="00D455A0"/>
    <w:rsid w:val="00D554A4"/>
    <w:rsid w:val="00D62306"/>
    <w:rsid w:val="00D6486F"/>
    <w:rsid w:val="00D74CD8"/>
    <w:rsid w:val="00D8558D"/>
    <w:rsid w:val="00D863D2"/>
    <w:rsid w:val="00DA267D"/>
    <w:rsid w:val="00DA4BE7"/>
    <w:rsid w:val="00DD039D"/>
    <w:rsid w:val="00DD484C"/>
    <w:rsid w:val="00DD4B07"/>
    <w:rsid w:val="00DD5AF1"/>
    <w:rsid w:val="00DD5E8E"/>
    <w:rsid w:val="00DE45DC"/>
    <w:rsid w:val="00DF6CB6"/>
    <w:rsid w:val="00E024D0"/>
    <w:rsid w:val="00E14138"/>
    <w:rsid w:val="00E2339B"/>
    <w:rsid w:val="00E23AE1"/>
    <w:rsid w:val="00E24B0E"/>
    <w:rsid w:val="00E25E0E"/>
    <w:rsid w:val="00E37289"/>
    <w:rsid w:val="00E4317F"/>
    <w:rsid w:val="00E44544"/>
    <w:rsid w:val="00E44BF4"/>
    <w:rsid w:val="00E47809"/>
    <w:rsid w:val="00E50A0A"/>
    <w:rsid w:val="00E5351D"/>
    <w:rsid w:val="00E543D3"/>
    <w:rsid w:val="00E658CB"/>
    <w:rsid w:val="00E67DE5"/>
    <w:rsid w:val="00E71501"/>
    <w:rsid w:val="00E768E9"/>
    <w:rsid w:val="00E76A33"/>
    <w:rsid w:val="00E84E1F"/>
    <w:rsid w:val="00E85DE5"/>
    <w:rsid w:val="00E9173E"/>
    <w:rsid w:val="00E945A1"/>
    <w:rsid w:val="00E9507C"/>
    <w:rsid w:val="00E97453"/>
    <w:rsid w:val="00E97BD3"/>
    <w:rsid w:val="00EA0A50"/>
    <w:rsid w:val="00EB35DC"/>
    <w:rsid w:val="00EB5D84"/>
    <w:rsid w:val="00EC157E"/>
    <w:rsid w:val="00EC2A43"/>
    <w:rsid w:val="00ED3CC5"/>
    <w:rsid w:val="00ED621B"/>
    <w:rsid w:val="00EE2CDE"/>
    <w:rsid w:val="00EE3849"/>
    <w:rsid w:val="00EF3B27"/>
    <w:rsid w:val="00EF6611"/>
    <w:rsid w:val="00F01DD2"/>
    <w:rsid w:val="00F0348C"/>
    <w:rsid w:val="00F06B9F"/>
    <w:rsid w:val="00F11E74"/>
    <w:rsid w:val="00F127AE"/>
    <w:rsid w:val="00F17647"/>
    <w:rsid w:val="00F20252"/>
    <w:rsid w:val="00F3166D"/>
    <w:rsid w:val="00F35DBD"/>
    <w:rsid w:val="00F363A9"/>
    <w:rsid w:val="00F42782"/>
    <w:rsid w:val="00F47601"/>
    <w:rsid w:val="00F47C07"/>
    <w:rsid w:val="00F51CC0"/>
    <w:rsid w:val="00F520AE"/>
    <w:rsid w:val="00F52964"/>
    <w:rsid w:val="00F56C81"/>
    <w:rsid w:val="00F61A08"/>
    <w:rsid w:val="00F672A4"/>
    <w:rsid w:val="00F73862"/>
    <w:rsid w:val="00F8240C"/>
    <w:rsid w:val="00F8277C"/>
    <w:rsid w:val="00F83ACA"/>
    <w:rsid w:val="00F96365"/>
    <w:rsid w:val="00FA1750"/>
    <w:rsid w:val="00FA5404"/>
    <w:rsid w:val="00FB18FF"/>
    <w:rsid w:val="00FB2748"/>
    <w:rsid w:val="00FB36A2"/>
    <w:rsid w:val="00FB444A"/>
    <w:rsid w:val="00FB56D6"/>
    <w:rsid w:val="00FC64FA"/>
    <w:rsid w:val="00FD305F"/>
    <w:rsid w:val="00FD4206"/>
    <w:rsid w:val="00FE0C75"/>
    <w:rsid w:val="00FF4EAE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AF1C0F-3D37-4C6A-B3FB-36F82283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семинар 1"/>
    <w:basedOn w:val="a"/>
    <w:next w:val="a"/>
    <w:link w:val="10"/>
    <w:qFormat/>
    <w:rsid w:val="002A3E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44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806"/>
    <w:rPr>
      <w:rFonts w:ascii="Tahoma" w:hAnsi="Tahoma" w:cs="Tahoma"/>
      <w:sz w:val="16"/>
      <w:szCs w:val="16"/>
      <w:lang w:eastAsia="en-US"/>
    </w:rPr>
  </w:style>
  <w:style w:type="character" w:styleId="a5">
    <w:name w:val="annotation reference"/>
    <w:uiPriority w:val="99"/>
    <w:rsid w:val="00CD648A"/>
    <w:rPr>
      <w:sz w:val="16"/>
      <w:szCs w:val="16"/>
    </w:rPr>
  </w:style>
  <w:style w:type="character" w:styleId="a6">
    <w:name w:val="footnote reference"/>
    <w:rsid w:val="00CD648A"/>
    <w:rPr>
      <w:vertAlign w:val="superscript"/>
    </w:rPr>
  </w:style>
  <w:style w:type="paragraph" w:styleId="a7">
    <w:name w:val="footnote text"/>
    <w:basedOn w:val="a"/>
    <w:link w:val="a8"/>
    <w:rsid w:val="00CD648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link w:val="a7"/>
    <w:rsid w:val="00CD648A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annotation text"/>
    <w:basedOn w:val="a"/>
    <w:link w:val="aa"/>
    <w:rsid w:val="00CD64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rsid w:val="00CD648A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2A3EA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2A3EA1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rsid w:val="002A3EA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2A3E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2A3EA1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rsid w:val="002A3EA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2A3EA1"/>
    <w:rPr>
      <w:rFonts w:ascii="Times New Roman" w:eastAsia="Times New Roman" w:hAnsi="Times New Roman"/>
    </w:rPr>
  </w:style>
  <w:style w:type="paragraph" w:customStyle="1" w:styleId="BodyTextIndent2">
    <w:name w:val="Body Text Indent 2"/>
    <w:basedOn w:val="a"/>
    <w:rsid w:val="00F42782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">
    <w:name w:val="Revision"/>
    <w:hidden/>
    <w:uiPriority w:val="99"/>
    <w:semiHidden/>
    <w:rsid w:val="009B4AAD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1A3445"/>
    <w:pPr>
      <w:ind w:left="708"/>
    </w:p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43589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2">
    <w:name w:val="Тема примечания Знак"/>
    <w:link w:val="af1"/>
    <w:uiPriority w:val="99"/>
    <w:semiHidden/>
    <w:rsid w:val="00435899"/>
    <w:rPr>
      <w:rFonts w:ascii="Times New Roman" w:eastAsia="Times New Roman" w:hAnsi="Times New Roman"/>
      <w:b/>
      <w:bCs/>
      <w:lang w:eastAsia="en-US"/>
    </w:rPr>
  </w:style>
  <w:style w:type="paragraph" w:styleId="af3">
    <w:name w:val="No Spacing"/>
    <w:uiPriority w:val="1"/>
    <w:qFormat/>
    <w:rsid w:val="000F4D47"/>
    <w:rPr>
      <w:sz w:val="22"/>
      <w:szCs w:val="22"/>
      <w:lang w:eastAsia="en-US"/>
    </w:rPr>
  </w:style>
  <w:style w:type="character" w:styleId="af4">
    <w:name w:val="Hyperlink"/>
    <w:uiPriority w:val="99"/>
    <w:unhideWhenUsed/>
    <w:rsid w:val="00FB444A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FB444A"/>
    <w:rPr>
      <w:rFonts w:eastAsia="Times New Roman"/>
      <w:b/>
      <w:bCs/>
      <w:sz w:val="28"/>
      <w:szCs w:val="28"/>
      <w:lang w:eastAsia="en-US"/>
    </w:rPr>
  </w:style>
  <w:style w:type="paragraph" w:styleId="af5">
    <w:name w:val="footer"/>
    <w:basedOn w:val="a"/>
    <w:link w:val="af6"/>
    <w:uiPriority w:val="99"/>
    <w:unhideWhenUsed/>
    <w:rsid w:val="00C9619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6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A62D-02F6-472D-BD43-DB47C676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tsarkov</dc:creator>
  <cp:keywords/>
  <cp:lastModifiedBy>Ушенин Максим Леонидович</cp:lastModifiedBy>
  <cp:revision>2</cp:revision>
  <cp:lastPrinted>2016-08-16T09:19:00Z</cp:lastPrinted>
  <dcterms:created xsi:type="dcterms:W3CDTF">2025-12-16T12:34:00Z</dcterms:created>
  <dcterms:modified xsi:type="dcterms:W3CDTF">2025-12-16T12:34:00Z</dcterms:modified>
</cp:coreProperties>
</file>