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639"/>
        <w:tblW w:w="16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5"/>
        <w:gridCol w:w="1094"/>
        <w:gridCol w:w="6231"/>
      </w:tblGrid>
      <w:tr w:rsidR="0018574C" w:rsidRPr="0018574C" w14:paraId="7EF08DC9" w14:textId="77777777" w:rsidTr="0018574C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67673E" w14:textId="77777777" w:rsidR="0018574C" w:rsidRPr="0018574C" w:rsidRDefault="0018574C" w:rsidP="0018574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  <w:t>Документы для регистрации программы коммерческих облигаций</w:t>
            </w:r>
          </w:p>
        </w:tc>
      </w:tr>
      <w:tr w:rsidR="0018574C" w:rsidRPr="0018574C" w14:paraId="0147FC1C" w14:textId="77777777" w:rsidTr="0018574C">
        <w:tc>
          <w:tcPr>
            <w:tcW w:w="8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7C572C" w14:textId="77777777" w:rsidR="0018574C" w:rsidRPr="0018574C" w:rsidRDefault="0018574C" w:rsidP="0018574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73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291643" w14:textId="77777777" w:rsidR="0018574C" w:rsidRPr="0018574C" w:rsidRDefault="0018574C" w:rsidP="0018574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  <w:t>Файл, примечание</w:t>
            </w:r>
          </w:p>
        </w:tc>
      </w:tr>
      <w:tr w:rsidR="0018574C" w:rsidRPr="0018574C" w14:paraId="0E570820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9F63A3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 xml:space="preserve">Заявление о регистрации Программы коммерческих облигаций с </w:t>
            </w:r>
            <w:proofErr w:type="gramStart"/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Описью  (</w:t>
            </w:r>
            <w:proofErr w:type="gramEnd"/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форма К1.4)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BE372A" w14:textId="77777777" w:rsidR="0018574C" w:rsidRPr="0018574C" w:rsidRDefault="0018574C" w:rsidP="0018574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noProof/>
                <w:color w:val="62B1E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2AB314D0" wp14:editId="3332491A">
                  <wp:extent cx="156845" cy="156845"/>
                  <wp:effectExtent l="0" t="0" r="0" b="0"/>
                  <wp:docPr id="8" name="Рисунок 8" descr="https://www.nsd.ru/upload/img/icons/i_doc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www.nsd.ru/upload/img/icons/i_doc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br/>
              <w:t xml:space="preserve">30 </w:t>
            </w:r>
            <w:proofErr w:type="spellStart"/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18574C" w:rsidRPr="0018574C" w14:paraId="302B2334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DF5A24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Программа коммерческих облигаций</w:t>
            </w: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br/>
            </w:r>
            <w:hyperlink r:id="rId7" w:history="1">
              <w:r w:rsidRPr="0018574C">
                <w:rPr>
                  <w:rFonts w:ascii="inherit" w:eastAsia="Times New Roman" w:hAnsi="inherit" w:cs="Arial"/>
                  <w:color w:val="62B1E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Шаблон Программы коммерческих облигаций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91D87F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При бумажном документообороте предоставляются 3 (три) экземпляра и дополнительно текст Эмиссионного документа на электронном носителе</w:t>
            </w:r>
          </w:p>
        </w:tc>
      </w:tr>
      <w:tr w:rsidR="0018574C" w:rsidRPr="0018574C" w14:paraId="1EE8C190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F25C09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Протокол собрания (заседания) (приказ, распоряжение или иной документ) уполномоченного органа управления Эмитента, которым принято решение об утверждении  Программы коммерческих облигаций, с указанием, в случае если решение принято коллегиальным органом управления, кворума и результатов голосования за его принятие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C17D17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8574C" w:rsidRPr="0018574C" w14:paraId="4D1E8377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567280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Устав и документы, подтверждающие полномочия лица, подписывающего Заявление на оказание услуги и (или) предоставленные документы для Регистрации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737364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Предоставляются, если не были предоставлены ранее.</w:t>
            </w:r>
          </w:p>
        </w:tc>
      </w:tr>
      <w:tr w:rsidR="0018574C" w:rsidRPr="0018574C" w14:paraId="65C16FE4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A658A7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Бухгалтерская (финансовая) отчетность Эмитента за последний завершенный отчетный год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A3D223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8574C" w:rsidRPr="0018574C" w14:paraId="160CDC78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EE5C3D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Бухгалтерская (финансовая) отчетность Эмитента за последний завершенный отчетный период, состоящий из трех, шести или девяти месяцев отчетного (текущего) года, предшествующие дате представления документов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5564E7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8574C" w:rsidRPr="0018574C" w14:paraId="08897764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2A676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Аудиторское заключение по бухгалтерской (финансовой) отчетности за последний завершенный отчетный год.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68BF8D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Предоставляется, если годовая бухгалтерская (финансовая) отчетность Эмитента подлежит обязательному аудиту, при этом бухгалтерская (финансовая) отчетность должна прилагаться к аудиторскому заключению</w:t>
            </w:r>
          </w:p>
        </w:tc>
      </w:tr>
      <w:tr w:rsidR="0018574C" w:rsidRPr="0018574C" w14:paraId="6290E056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B5F1D9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Справка, содержащая объяснения в случае непредоставления годовой бухгалтерской (финансовой) отчетности или бухгалтерской финансовой  отчетности Эмитента за последний завершенный отчетный период, состоящий из трех, шести или девяти месяцев отчетного года или предоставления такой отчетности не в полном объеме (составе)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0BE65B" w14:textId="77777777" w:rsidR="0018574C" w:rsidRPr="0018574C" w:rsidRDefault="0018574C" w:rsidP="0018574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noProof/>
                <w:color w:val="62B1E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2B2B469C" wp14:editId="3640922F">
                  <wp:extent cx="156845" cy="156845"/>
                  <wp:effectExtent l="0" t="0" r="0" b="0"/>
                  <wp:docPr id="7" name="Рисунок 7" descr="https://www.nsd.ru/upload/img/icons/i_doc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www.nsd.ru/upload/img/icons/i_doc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br/>
              <w:t xml:space="preserve">14 </w:t>
            </w:r>
            <w:proofErr w:type="spellStart"/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18574C" w:rsidRPr="0018574C" w14:paraId="05C62F00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FB34AE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Справка, содержащая объяснения в случае непредоставления аудиторского заключения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20F790" w14:textId="77777777" w:rsidR="0018574C" w:rsidRPr="0018574C" w:rsidRDefault="0018574C" w:rsidP="0018574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noProof/>
                <w:color w:val="62B1E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634E1CC" wp14:editId="15C74F51">
                  <wp:extent cx="156845" cy="156845"/>
                  <wp:effectExtent l="0" t="0" r="0" b="0"/>
                  <wp:docPr id="6" name="Рисунок 6" descr="https://www.nsd.ru/upload/img/icons/i_doc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www.nsd.ru/upload/img/icons/i_doc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br/>
              <w:t xml:space="preserve">20 </w:t>
            </w:r>
            <w:proofErr w:type="spellStart"/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18574C" w:rsidRPr="0018574C" w14:paraId="770C3751" w14:textId="77777777" w:rsidTr="001857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05C4C1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lastRenderedPageBreak/>
              <w:t>Справка эмитента об устранении всех несоответствий требованиям законодательства Российской Федерации, выявленных НРД по результатам предварительного рассмотрения Эмитентом документов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59EAF8" w14:textId="77777777" w:rsidR="0018574C" w:rsidRPr="0018574C" w:rsidRDefault="0018574C" w:rsidP="0018574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noProof/>
                <w:color w:val="62B1E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1A3A81BD" wp14:editId="518FE2B0">
                  <wp:extent cx="156845" cy="156845"/>
                  <wp:effectExtent l="0" t="0" r="0" b="0"/>
                  <wp:docPr id="5" name="Рисунок 5" descr="https://www.nsd.ru/upload/img/icons/i_doc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www.nsd.ru/upload/img/icons/i_doc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br/>
              <w:t>14 </w:t>
            </w:r>
            <w:proofErr w:type="spellStart"/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kB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97F12F" w14:textId="77777777" w:rsidR="0018574C" w:rsidRPr="0018574C" w:rsidRDefault="0018574C" w:rsidP="0018574C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18574C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Предоставляется, если была оказана услуга Предварительное рассмотрение документов и были выявлены несоответствия</w:t>
            </w:r>
          </w:p>
        </w:tc>
      </w:tr>
    </w:tbl>
    <w:p w14:paraId="496D0E86" w14:textId="77777777" w:rsidR="0018574C" w:rsidRPr="0018574C" w:rsidRDefault="0018574C" w:rsidP="00185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7A405" w14:textId="77777777" w:rsidR="00C7798D" w:rsidRDefault="00C7798D">
      <w:bookmarkStart w:id="0" w:name="_GoBack"/>
      <w:bookmarkEnd w:id="0"/>
    </w:p>
    <w:sectPr w:rsidR="00C7798D" w:rsidSect="001857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0A"/>
    <w:rsid w:val="0018574C"/>
    <w:rsid w:val="00C7798D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375EC-9249-4171-B003-A09F9C20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d.ru/upload/docs/client/nepred_ot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d.ru/documents/emiss/commercial_bon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www.nsd.ru/upload/docs/client/forma_k1-4.docx" TargetMode="External"/><Relationship Id="rId10" Type="http://schemas.openxmlformats.org/officeDocument/2006/relationships/hyperlink" Target="https://www.nsd.ru/upload/docs/client/ustr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d.ru/upload/docs/client/nepred_audi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5A747-060A-40C8-9865-7AFF8085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Туревич Марта Андреевна</dc:creator>
  <cp:keywords/>
  <dc:description/>
  <cp:lastModifiedBy>Туревич Марта Андреевна</cp:lastModifiedBy>
  <cp:revision>2</cp:revision>
  <dcterms:created xsi:type="dcterms:W3CDTF">2025-11-28T06:09:00Z</dcterms:created>
  <dcterms:modified xsi:type="dcterms:W3CDTF">2025-11-28T06:13:00Z</dcterms:modified>
</cp:coreProperties>
</file>