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7089" w:rsidRPr="00147089" w:rsidRDefault="00147089" w:rsidP="00147089">
      <w:pPr>
        <w:pStyle w:val="a"/>
        <w:numPr>
          <w:ilvl w:val="0"/>
          <w:numId w:val="0"/>
        </w:numPr>
        <w:contextualSpacing/>
        <w:jc w:val="right"/>
        <w:rPr>
          <w:rFonts w:eastAsia="Times New Roman" w:cs="Times New Roman"/>
          <w:b w:val="0"/>
          <w:szCs w:val="24"/>
        </w:rPr>
      </w:pPr>
      <w:bookmarkStart w:id="0" w:name="_GoBack"/>
      <w:r w:rsidRPr="00147089">
        <w:rPr>
          <w:rFonts w:eastAsia="Times New Roman" w:cs="Times New Roman"/>
          <w:b w:val="0"/>
          <w:szCs w:val="24"/>
        </w:rPr>
        <w:t>Приложение 4</w:t>
      </w:r>
    </w:p>
    <w:p w:rsidR="00147089" w:rsidRPr="00147089" w:rsidRDefault="00147089" w:rsidP="00147089">
      <w:pPr>
        <w:spacing w:after="120"/>
        <w:jc w:val="both"/>
        <w:rPr>
          <w:rFonts w:ascii="Times New Roman" w:hAnsi="Times New Roman" w:cs="Times New Roman"/>
          <w:sz w:val="24"/>
          <w:szCs w:val="24"/>
        </w:rPr>
      </w:pPr>
    </w:p>
    <w:p w:rsidR="00147089" w:rsidRPr="00147089" w:rsidRDefault="00147089" w:rsidP="00147089">
      <w:pPr>
        <w:pStyle w:val="aa"/>
        <w:jc w:val="center"/>
        <w:rPr>
          <w:rFonts w:ascii="Times New Roman" w:hAnsi="Times New Roman" w:cs="Times New Roman"/>
          <w:b/>
          <w:sz w:val="24"/>
          <w:szCs w:val="24"/>
        </w:rPr>
      </w:pPr>
      <w:r w:rsidRPr="00147089">
        <w:rPr>
          <w:rFonts w:ascii="Times New Roman" w:hAnsi="Times New Roman" w:cs="Times New Roman"/>
          <w:b/>
          <w:sz w:val="24"/>
          <w:szCs w:val="24"/>
        </w:rPr>
        <w:t>Заявление</w:t>
      </w:r>
    </w:p>
    <w:p w:rsidR="00147089" w:rsidRPr="00147089" w:rsidRDefault="00147089" w:rsidP="00147089">
      <w:pPr>
        <w:pStyle w:val="aa"/>
        <w:jc w:val="center"/>
        <w:rPr>
          <w:rFonts w:ascii="Times New Roman" w:hAnsi="Times New Roman" w:cs="Times New Roman"/>
          <w:b/>
          <w:sz w:val="24"/>
          <w:szCs w:val="24"/>
        </w:rPr>
      </w:pPr>
      <w:r w:rsidRPr="00147089">
        <w:rPr>
          <w:rFonts w:ascii="Times New Roman" w:hAnsi="Times New Roman" w:cs="Times New Roman"/>
          <w:b/>
          <w:sz w:val="24"/>
          <w:szCs w:val="24"/>
        </w:rPr>
        <w:t>о перечислении денежных средств по Еврооблигациям</w:t>
      </w:r>
    </w:p>
    <w:p w:rsidR="00147089" w:rsidRPr="00147089" w:rsidRDefault="00147089" w:rsidP="00147089"/>
    <w:p w:rsidR="00147089" w:rsidRPr="00147089" w:rsidRDefault="00147089" w:rsidP="00147089">
      <w:pPr>
        <w:tabs>
          <w:tab w:val="left" w:pos="1134"/>
          <w:tab w:val="left" w:pos="9356"/>
        </w:tabs>
        <w:ind w:left="851" w:right="-1" w:hanging="851"/>
        <w:jc w:val="both"/>
        <w:rPr>
          <w:rFonts w:ascii="Times New Roman" w:hAnsi="Times New Roman" w:cs="Times New Roman"/>
          <w:sz w:val="24"/>
          <w:szCs w:val="24"/>
        </w:rPr>
      </w:pPr>
      <w:r w:rsidRPr="00147089">
        <w:rPr>
          <w:rFonts w:ascii="Times New Roman" w:hAnsi="Times New Roman" w:cs="Times New Roman"/>
          <w:sz w:val="24"/>
          <w:szCs w:val="24"/>
        </w:rPr>
        <w:t>Прошу НКО АО НРД перечислить денежные средства в рублях по Еврооблигациям:</w:t>
      </w:r>
    </w:p>
    <w:tbl>
      <w:tblPr>
        <w:tblStyle w:val="a4"/>
        <w:tblW w:w="9392" w:type="dxa"/>
        <w:tblInd w:w="108" w:type="dxa"/>
        <w:tblLook w:val="04A0" w:firstRow="1" w:lastRow="0" w:firstColumn="1" w:lastColumn="0" w:noHBand="0" w:noVBand="1"/>
      </w:tblPr>
      <w:tblGrid>
        <w:gridCol w:w="1021"/>
        <w:gridCol w:w="3827"/>
        <w:gridCol w:w="4536"/>
        <w:gridCol w:w="8"/>
      </w:tblGrid>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ISIN код Еврооблигаций</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Вид выплаты по Еврооблигациям</w:t>
            </w:r>
          </w:p>
        </w:tc>
        <w:tc>
          <w:tcPr>
            <w:tcW w:w="4536" w:type="dxa"/>
          </w:tcPr>
          <w:p w:rsidR="00147089" w:rsidRPr="00147089" w:rsidRDefault="00147089" w:rsidP="00147089">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147089">
              <w:rPr>
                <w:rFonts w:ascii="Times New Roman" w:hAnsi="Times New Roman" w:cs="Times New Roman"/>
                <w:sz w:val="24"/>
                <w:szCs w:val="24"/>
              </w:rPr>
              <w:t>Купонный (процентный) доход</w:t>
            </w:r>
          </w:p>
          <w:p w:rsidR="00147089" w:rsidRPr="00147089" w:rsidRDefault="00147089" w:rsidP="00147089">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147089">
              <w:rPr>
                <w:rFonts w:ascii="Times New Roman" w:hAnsi="Times New Roman" w:cs="Times New Roman"/>
                <w:sz w:val="24"/>
                <w:szCs w:val="24"/>
              </w:rPr>
              <w:t>Номинальная стоимость</w:t>
            </w:r>
          </w:p>
          <w:p w:rsidR="00147089" w:rsidRPr="00147089" w:rsidRDefault="00147089" w:rsidP="00147089">
            <w:pPr>
              <w:pStyle w:val="a7"/>
              <w:numPr>
                <w:ilvl w:val="0"/>
                <w:numId w:val="2"/>
              </w:numPr>
              <w:tabs>
                <w:tab w:val="left" w:pos="67"/>
                <w:tab w:val="left" w:pos="1134"/>
                <w:tab w:val="left" w:pos="9356"/>
              </w:tabs>
              <w:spacing w:before="0" w:after="0" w:line="240" w:lineRule="auto"/>
              <w:ind w:right="-1"/>
              <w:jc w:val="both"/>
              <w:rPr>
                <w:rFonts w:ascii="Times New Roman" w:hAnsi="Times New Roman" w:cs="Times New Roman"/>
                <w:sz w:val="24"/>
                <w:szCs w:val="24"/>
              </w:rPr>
            </w:pPr>
            <w:r w:rsidRPr="00147089">
              <w:rPr>
                <w:rFonts w:ascii="Times New Roman" w:hAnsi="Times New Roman" w:cs="Times New Roman"/>
                <w:sz w:val="24"/>
                <w:szCs w:val="24"/>
              </w:rPr>
              <w:t>Частичная номинальная стоимость</w:t>
            </w: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Дата фиксации</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Дата выплаты</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Количество Еврооблигаций (в штуках)</w:t>
            </w:r>
            <w:r w:rsidRPr="00147089">
              <w:rPr>
                <w:rStyle w:val="a9"/>
                <w:rFonts w:ascii="Times New Roman" w:hAnsi="Times New Roman" w:cs="Times New Roman"/>
                <w:sz w:val="24"/>
                <w:szCs w:val="24"/>
              </w:rPr>
              <w:footnoteReference w:id="1"/>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c>
          <w:tcPr>
            <w:tcW w:w="9392" w:type="dxa"/>
            <w:gridSpan w:val="4"/>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b/>
                <w:sz w:val="24"/>
                <w:szCs w:val="24"/>
              </w:rPr>
              <w:t>Сведения, позволяющие идентифицировать Держателя</w:t>
            </w:r>
            <w:r w:rsidRPr="00147089">
              <w:rPr>
                <w:rFonts w:ascii="Times New Roman" w:hAnsi="Times New Roman" w:cs="Times New Roman"/>
                <w:sz w:val="24"/>
                <w:szCs w:val="24"/>
              </w:rPr>
              <w:t xml:space="preserve"> </w:t>
            </w:r>
            <w:r w:rsidRPr="00147089">
              <w:rPr>
                <w:rFonts w:ascii="Times New Roman" w:hAnsi="Times New Roman" w:cs="Times New Roman"/>
                <w:b/>
                <w:sz w:val="24"/>
                <w:szCs w:val="24"/>
              </w:rPr>
              <w:t>Еврооблигаций</w:t>
            </w: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Тип Держателя Еврооблигаций</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c>
          <w:tcPr>
            <w:tcW w:w="4536" w:type="dxa"/>
          </w:tcPr>
          <w:p w:rsidR="00147089" w:rsidRPr="00147089" w:rsidRDefault="00147089" w:rsidP="00147089">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147089">
              <w:rPr>
                <w:rFonts w:ascii="Times New Roman" w:hAnsi="Times New Roman" w:cs="Times New Roman"/>
                <w:sz w:val="24"/>
                <w:szCs w:val="24"/>
              </w:rPr>
              <w:t xml:space="preserve">владелец ценных бумаг </w:t>
            </w:r>
          </w:p>
          <w:p w:rsidR="00147089" w:rsidRPr="00147089" w:rsidRDefault="00147089" w:rsidP="00147089">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147089">
              <w:rPr>
                <w:rFonts w:ascii="Times New Roman" w:hAnsi="Times New Roman" w:cs="Times New Roman"/>
                <w:sz w:val="24"/>
                <w:szCs w:val="24"/>
              </w:rPr>
              <w:t>лицо, осуществляющее права по ценным бумагам</w:t>
            </w: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Признак лица, имеющего право на получение выплат по ценным бумагам      </w:t>
            </w:r>
          </w:p>
        </w:tc>
        <w:tc>
          <w:tcPr>
            <w:tcW w:w="4536" w:type="dxa"/>
          </w:tcPr>
          <w:p w:rsidR="00147089" w:rsidRPr="00147089" w:rsidRDefault="00147089" w:rsidP="00147089">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147089">
              <w:rPr>
                <w:rFonts w:ascii="Times New Roman" w:hAnsi="Times New Roman" w:cs="Times New Roman"/>
                <w:sz w:val="24"/>
                <w:szCs w:val="24"/>
              </w:rPr>
              <w:t>физическое лицо</w:t>
            </w:r>
          </w:p>
          <w:p w:rsidR="00147089" w:rsidRPr="00147089" w:rsidRDefault="00147089" w:rsidP="00147089">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147089">
              <w:rPr>
                <w:rFonts w:ascii="Times New Roman" w:hAnsi="Times New Roman" w:cs="Times New Roman"/>
                <w:sz w:val="24"/>
                <w:szCs w:val="24"/>
              </w:rPr>
              <w:t>юридическое лицо</w:t>
            </w:r>
          </w:p>
          <w:p w:rsidR="00147089" w:rsidRPr="00147089" w:rsidRDefault="00147089" w:rsidP="00147089">
            <w:pPr>
              <w:pStyle w:val="a7"/>
              <w:numPr>
                <w:ilvl w:val="0"/>
                <w:numId w:val="2"/>
              </w:numPr>
              <w:tabs>
                <w:tab w:val="left" w:pos="67"/>
                <w:tab w:val="left" w:pos="607"/>
                <w:tab w:val="left" w:pos="1134"/>
                <w:tab w:val="left" w:pos="9356"/>
              </w:tabs>
              <w:spacing w:before="0" w:after="0" w:line="240" w:lineRule="auto"/>
              <w:ind w:left="607" w:right="-1" w:hanging="567"/>
              <w:jc w:val="both"/>
              <w:rPr>
                <w:rFonts w:ascii="Times New Roman" w:hAnsi="Times New Roman" w:cs="Times New Roman"/>
                <w:sz w:val="24"/>
                <w:szCs w:val="24"/>
              </w:rPr>
            </w:pPr>
            <w:r w:rsidRPr="00147089">
              <w:rPr>
                <w:rFonts w:ascii="Times New Roman" w:hAnsi="Times New Roman" w:cs="Times New Roman"/>
                <w:sz w:val="24"/>
                <w:szCs w:val="24"/>
              </w:rPr>
              <w:t>иностранная структура, без образования юридического лица</w:t>
            </w: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Полное (краткое) наименование/ФИО Держателя Еврооблигаций</w:t>
            </w:r>
          </w:p>
        </w:tc>
        <w:tc>
          <w:tcPr>
            <w:tcW w:w="4536" w:type="dxa"/>
          </w:tcPr>
          <w:p w:rsidR="00147089" w:rsidRPr="00147089" w:rsidRDefault="00147089"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Наименование документа, удостоверяющего личность физического лица/регистрационного документа  юридического лица</w:t>
            </w:r>
          </w:p>
        </w:tc>
        <w:tc>
          <w:tcPr>
            <w:tcW w:w="4536" w:type="dxa"/>
          </w:tcPr>
          <w:p w:rsidR="00147089" w:rsidRPr="00147089" w:rsidRDefault="00147089"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Серия и/или номер документа, удостоверяющего личность физического </w:t>
            </w:r>
            <w:r w:rsidRPr="00147089">
              <w:rPr>
                <w:rFonts w:ascii="Times New Roman" w:hAnsi="Times New Roman" w:cs="Times New Roman"/>
                <w:sz w:val="24"/>
                <w:szCs w:val="24"/>
              </w:rPr>
              <w:lastRenderedPageBreak/>
              <w:t>лица/регистрационный номер   юридического лица</w:t>
            </w:r>
          </w:p>
        </w:tc>
        <w:tc>
          <w:tcPr>
            <w:tcW w:w="4536" w:type="dxa"/>
          </w:tcPr>
          <w:p w:rsidR="00147089" w:rsidRPr="00147089" w:rsidRDefault="00147089"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Дата выдачи документа, удостоверяющего личность физического лица/дата регистрации в качестве юридического лица</w:t>
            </w:r>
          </w:p>
        </w:tc>
        <w:tc>
          <w:tcPr>
            <w:tcW w:w="4536" w:type="dxa"/>
          </w:tcPr>
          <w:p w:rsidR="00147089" w:rsidRPr="00147089" w:rsidRDefault="00147089"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Дата рождения Держателя - физического лица</w:t>
            </w:r>
          </w:p>
        </w:tc>
        <w:tc>
          <w:tcPr>
            <w:tcW w:w="4536" w:type="dxa"/>
          </w:tcPr>
          <w:p w:rsidR="00147089" w:rsidRPr="00147089" w:rsidRDefault="00147089" w:rsidP="006C0D45">
            <w:pPr>
              <w:tabs>
                <w:tab w:val="left" w:pos="67"/>
                <w:tab w:val="left" w:pos="607"/>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Адрес места жительства (регистрации) физического лица/ адрес местонахождения юридического лица</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Наименование страны регистрации (гражданства /подданства) Держателя</w:t>
            </w:r>
            <w:r w:rsidRPr="00147089">
              <w:rPr>
                <w:rFonts w:ascii="Times New Roman" w:hAnsi="Times New Roman" w:cs="Times New Roman"/>
                <w:sz w:val="24"/>
                <w:szCs w:val="24"/>
                <w:lang w:val="en-US"/>
              </w:rPr>
              <w:t> </w:t>
            </w:r>
            <w:r w:rsidRPr="00147089">
              <w:rPr>
                <w:rFonts w:ascii="Times New Roman" w:hAnsi="Times New Roman" w:cs="Times New Roman"/>
                <w:sz w:val="24"/>
                <w:szCs w:val="24"/>
              </w:rPr>
              <w:t>Еврооблигаций</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Адрес электронной почты для направления уведомлений (e-</w:t>
            </w:r>
            <w:proofErr w:type="spellStart"/>
            <w:r w:rsidRPr="00147089">
              <w:rPr>
                <w:rFonts w:ascii="Times New Roman" w:hAnsi="Times New Roman" w:cs="Times New Roman"/>
                <w:sz w:val="24"/>
                <w:szCs w:val="24"/>
              </w:rPr>
              <w:t>mail</w:t>
            </w:r>
            <w:proofErr w:type="spellEnd"/>
            <w:r w:rsidRPr="00147089">
              <w:rPr>
                <w:rFonts w:ascii="Times New Roman" w:hAnsi="Times New Roman" w:cs="Times New Roman"/>
                <w:sz w:val="24"/>
                <w:szCs w:val="24"/>
              </w:rPr>
              <w:t>)</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lang w:val="en-US"/>
              </w:rPr>
            </w:pPr>
            <w:r w:rsidRPr="00147089">
              <w:rPr>
                <w:rFonts w:ascii="Times New Roman" w:hAnsi="Times New Roman" w:cs="Times New Roman"/>
                <w:sz w:val="24"/>
                <w:szCs w:val="24"/>
              </w:rPr>
              <w:t>Контактный телефон</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c>
          <w:tcPr>
            <w:tcW w:w="9392" w:type="dxa"/>
            <w:gridSpan w:val="4"/>
          </w:tcPr>
          <w:p w:rsidR="00147089" w:rsidRPr="00147089" w:rsidRDefault="00147089" w:rsidP="006C0D45">
            <w:pPr>
              <w:tabs>
                <w:tab w:val="left" w:pos="1134"/>
                <w:tab w:val="left" w:pos="9356"/>
              </w:tabs>
              <w:ind w:right="-1"/>
              <w:jc w:val="both"/>
              <w:rPr>
                <w:rFonts w:ascii="Times New Roman" w:hAnsi="Times New Roman" w:cs="Times New Roman"/>
                <w:b/>
                <w:sz w:val="24"/>
                <w:szCs w:val="24"/>
              </w:rPr>
            </w:pPr>
            <w:r w:rsidRPr="00147089">
              <w:rPr>
                <w:rFonts w:ascii="Times New Roman" w:hAnsi="Times New Roman" w:cs="Times New Roman"/>
                <w:b/>
                <w:sz w:val="24"/>
                <w:szCs w:val="24"/>
              </w:rPr>
              <w:t>Банковские реквизиты Держателя Еврооблигаций для перечисления выплат по Еврооблигациям в рублях</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i/>
                <w:sz w:val="24"/>
                <w:szCs w:val="24"/>
              </w:rPr>
              <w:t>(указываются реквизиты счета в российских рублях в российском или иностранном банке)</w:t>
            </w: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Наименование российского Банка Получателя           </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Банковский идентификационный код (БИК) банка Получателя (9 знаков)</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Город российского Банка Получателя</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Номер корреспондентского счета банка Получателя, открытый в подразделении Банка России (20 знаков) </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ИНН получателя средств, присвоенный российскими налоговыми органами                  </w:t>
            </w:r>
            <w:proofErr w:type="gramStart"/>
            <w:r w:rsidRPr="00147089">
              <w:rPr>
                <w:rFonts w:ascii="Times New Roman" w:hAnsi="Times New Roman" w:cs="Times New Roman"/>
                <w:sz w:val="24"/>
                <w:szCs w:val="24"/>
              </w:rPr>
              <w:t xml:space="preserve">   (</w:t>
            </w:r>
            <w:proofErr w:type="gramEnd"/>
            <w:r w:rsidRPr="00147089">
              <w:rPr>
                <w:rFonts w:ascii="Times New Roman" w:hAnsi="Times New Roman" w:cs="Times New Roman"/>
                <w:sz w:val="24"/>
                <w:szCs w:val="24"/>
              </w:rPr>
              <w:t xml:space="preserve">10 </w:t>
            </w:r>
            <w:r w:rsidRPr="00147089">
              <w:rPr>
                <w:rFonts w:ascii="Times New Roman" w:hAnsi="Times New Roman" w:cs="Times New Roman"/>
                <w:sz w:val="24"/>
                <w:szCs w:val="24"/>
              </w:rPr>
              <w:lastRenderedPageBreak/>
              <w:t xml:space="preserve">знаков для ЮЛ или 12 знаков для ФЛ)    </w:t>
            </w:r>
          </w:p>
          <w:p w:rsidR="00147089" w:rsidRPr="00147089" w:rsidRDefault="00147089" w:rsidP="006C0D45">
            <w:pPr>
              <w:tabs>
                <w:tab w:val="left" w:pos="1134"/>
                <w:tab w:val="left" w:pos="9356"/>
              </w:tabs>
              <w:ind w:right="-1"/>
              <w:jc w:val="both"/>
              <w:rPr>
                <w:rFonts w:ascii="Times New Roman" w:hAnsi="Times New Roman" w:cs="Times New Roman"/>
                <w:i/>
                <w:sz w:val="24"/>
                <w:szCs w:val="24"/>
              </w:rPr>
            </w:pPr>
            <w:r w:rsidRPr="00147089">
              <w:rPr>
                <w:rFonts w:ascii="Times New Roman" w:hAnsi="Times New Roman" w:cs="Times New Roman"/>
                <w:i/>
                <w:sz w:val="24"/>
                <w:szCs w:val="24"/>
              </w:rPr>
              <w:t>* </w:t>
            </w:r>
            <w:proofErr w:type="gramStart"/>
            <w:r w:rsidRPr="00147089">
              <w:rPr>
                <w:rFonts w:ascii="Times New Roman" w:hAnsi="Times New Roman" w:cs="Times New Roman"/>
                <w:i/>
                <w:sz w:val="24"/>
                <w:szCs w:val="24"/>
              </w:rPr>
              <w:t>В</w:t>
            </w:r>
            <w:proofErr w:type="gramEnd"/>
            <w:r w:rsidRPr="00147089">
              <w:rPr>
                <w:rFonts w:ascii="Times New Roman" w:hAnsi="Times New Roman" w:cs="Times New Roman"/>
                <w:i/>
                <w:sz w:val="24"/>
                <w:szCs w:val="24"/>
              </w:rPr>
              <w:t xml:space="preserve"> случае, если ИНН не присвоен российскими налоговыми органами, то реквизит «ИНН получателя» заполняется нулями (10 знаков для ЮЛ или 12 знаков для ФЛ)  </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Наименование Получателя (в соответствии с </w:t>
            </w:r>
            <w:proofErr w:type="gramStart"/>
            <w:r w:rsidRPr="00147089">
              <w:rPr>
                <w:rFonts w:ascii="Times New Roman" w:hAnsi="Times New Roman" w:cs="Times New Roman"/>
                <w:sz w:val="24"/>
                <w:szCs w:val="24"/>
              </w:rPr>
              <w:t>Уставом)*</w:t>
            </w:r>
            <w:proofErr w:type="gramEnd"/>
            <w:r w:rsidRPr="00147089">
              <w:rPr>
                <w:rFonts w:ascii="Times New Roman" w:hAnsi="Times New Roman" w:cs="Times New Roman"/>
                <w:sz w:val="24"/>
                <w:szCs w:val="24"/>
              </w:rPr>
              <w:t xml:space="preserve">                                            </w:t>
            </w:r>
          </w:p>
          <w:p w:rsidR="00147089" w:rsidRPr="00147089" w:rsidRDefault="00147089" w:rsidP="006C0D45">
            <w:pPr>
              <w:tabs>
                <w:tab w:val="left" w:pos="1134"/>
                <w:tab w:val="left" w:pos="9356"/>
              </w:tabs>
              <w:ind w:right="-1"/>
              <w:jc w:val="both"/>
              <w:rPr>
                <w:rFonts w:ascii="Times New Roman" w:hAnsi="Times New Roman" w:cs="Times New Roman"/>
                <w:i/>
                <w:sz w:val="24"/>
                <w:szCs w:val="24"/>
              </w:rPr>
            </w:pPr>
            <w:r w:rsidRPr="00147089">
              <w:rPr>
                <w:rFonts w:ascii="Times New Roman" w:hAnsi="Times New Roman" w:cs="Times New Roman"/>
                <w:i/>
                <w:sz w:val="24"/>
                <w:szCs w:val="24"/>
              </w:rPr>
              <w:t xml:space="preserve">* </w:t>
            </w:r>
            <w:proofErr w:type="gramStart"/>
            <w:r w:rsidRPr="00147089">
              <w:rPr>
                <w:rFonts w:ascii="Times New Roman" w:hAnsi="Times New Roman" w:cs="Times New Roman"/>
                <w:i/>
                <w:sz w:val="24"/>
                <w:szCs w:val="24"/>
              </w:rPr>
              <w:t>В</w:t>
            </w:r>
            <w:proofErr w:type="gramEnd"/>
            <w:r w:rsidRPr="00147089">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наименование иностранного банка </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Счет получателя (</w:t>
            </w:r>
            <w:proofErr w:type="spellStart"/>
            <w:r w:rsidRPr="00147089">
              <w:rPr>
                <w:rFonts w:ascii="Times New Roman" w:hAnsi="Times New Roman" w:cs="Times New Roman"/>
                <w:sz w:val="24"/>
                <w:szCs w:val="24"/>
              </w:rPr>
              <w:t>корр</w:t>
            </w:r>
            <w:proofErr w:type="spellEnd"/>
            <w:r w:rsidRPr="00147089">
              <w:rPr>
                <w:rFonts w:ascii="Times New Roman" w:hAnsi="Times New Roman" w:cs="Times New Roman"/>
                <w:sz w:val="24"/>
                <w:szCs w:val="24"/>
              </w:rPr>
              <w:t xml:space="preserve">/с или р/с </w:t>
            </w:r>
            <w:proofErr w:type="gramStart"/>
            <w:r w:rsidRPr="00147089">
              <w:rPr>
                <w:rFonts w:ascii="Times New Roman" w:hAnsi="Times New Roman" w:cs="Times New Roman"/>
                <w:sz w:val="24"/>
                <w:szCs w:val="24"/>
              </w:rPr>
              <w:t>Получателя)*</w:t>
            </w:r>
            <w:proofErr w:type="gramEnd"/>
          </w:p>
          <w:p w:rsidR="00147089" w:rsidRPr="00147089" w:rsidRDefault="00147089" w:rsidP="006C0D45">
            <w:pPr>
              <w:tabs>
                <w:tab w:val="left" w:pos="1134"/>
                <w:tab w:val="left" w:pos="9356"/>
              </w:tabs>
              <w:ind w:right="-1"/>
              <w:jc w:val="both"/>
              <w:rPr>
                <w:rFonts w:ascii="Times New Roman" w:hAnsi="Times New Roman" w:cs="Times New Roman"/>
                <w:i/>
                <w:sz w:val="24"/>
                <w:szCs w:val="24"/>
              </w:rPr>
            </w:pPr>
            <w:r w:rsidRPr="00147089">
              <w:rPr>
                <w:rFonts w:ascii="Times New Roman" w:hAnsi="Times New Roman" w:cs="Times New Roman"/>
                <w:sz w:val="24"/>
                <w:szCs w:val="24"/>
              </w:rPr>
              <w:t xml:space="preserve"> </w:t>
            </w:r>
            <w:r w:rsidRPr="00147089">
              <w:rPr>
                <w:rFonts w:ascii="Times New Roman" w:hAnsi="Times New Roman" w:cs="Times New Roman"/>
                <w:i/>
                <w:sz w:val="24"/>
                <w:szCs w:val="24"/>
              </w:rPr>
              <w:t xml:space="preserve">* </w:t>
            </w:r>
            <w:proofErr w:type="gramStart"/>
            <w:r w:rsidRPr="00147089">
              <w:rPr>
                <w:rFonts w:ascii="Times New Roman" w:hAnsi="Times New Roman" w:cs="Times New Roman"/>
                <w:i/>
                <w:sz w:val="24"/>
                <w:szCs w:val="24"/>
              </w:rPr>
              <w:t>В</w:t>
            </w:r>
            <w:proofErr w:type="gramEnd"/>
            <w:r w:rsidRPr="00147089">
              <w:rPr>
                <w:rFonts w:ascii="Times New Roman" w:hAnsi="Times New Roman" w:cs="Times New Roman"/>
                <w:i/>
                <w:sz w:val="24"/>
                <w:szCs w:val="24"/>
              </w:rPr>
              <w:t xml:space="preserve"> случае, если лицу, имеющему право на получение выплаты открыт счет в иностранном банке, то указывается корреспондентский счет, открытый иностранному банку в российском банке                  </w:t>
            </w:r>
          </w:p>
          <w:p w:rsidR="00147089" w:rsidRPr="00147089" w:rsidRDefault="00147089" w:rsidP="006C0D45">
            <w:pPr>
              <w:tabs>
                <w:tab w:val="left" w:pos="1134"/>
                <w:tab w:val="left" w:pos="9356"/>
              </w:tabs>
              <w:ind w:right="-1"/>
              <w:jc w:val="both"/>
              <w:rPr>
                <w:rFonts w:ascii="Times New Roman" w:hAnsi="Times New Roman" w:cs="Times New Roman"/>
                <w:i/>
                <w:sz w:val="24"/>
                <w:szCs w:val="24"/>
              </w:rPr>
            </w:pPr>
          </w:p>
        </w:tc>
        <w:tc>
          <w:tcPr>
            <w:tcW w:w="4536" w:type="dxa"/>
          </w:tcPr>
          <w:p w:rsidR="00147089" w:rsidRPr="00147089" w:rsidRDefault="00147089" w:rsidP="006C0D45">
            <w:pPr>
              <w:jc w:val="both"/>
              <w:rPr>
                <w:rFonts w:ascii="Times New Roman" w:hAnsi="Times New Roman" w:cs="Times New Roman"/>
                <w:sz w:val="24"/>
                <w:szCs w:val="24"/>
              </w:rPr>
            </w:pPr>
          </w:p>
        </w:tc>
      </w:tr>
      <w:tr w:rsidR="00147089" w:rsidRPr="00147089" w:rsidTr="006C0D45">
        <w:trPr>
          <w:gridAfter w:val="1"/>
          <w:wAfter w:w="8" w:type="dxa"/>
        </w:trPr>
        <w:tc>
          <w:tcPr>
            <w:tcW w:w="9384" w:type="dxa"/>
            <w:gridSpan w:val="3"/>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b/>
                <w:sz w:val="24"/>
                <w:szCs w:val="24"/>
              </w:rPr>
              <w:t xml:space="preserve">Банковские реквизиты Держателя Еврооблигаций для перечисления выплат по Еврооблигациям в иностранной валюте </w:t>
            </w:r>
            <w:r w:rsidRPr="00147089">
              <w:rPr>
                <w:rFonts w:ascii="Times New Roman" w:hAnsi="Times New Roman" w:cs="Times New Roman"/>
                <w:sz w:val="24"/>
                <w:szCs w:val="24"/>
              </w:rPr>
              <w:t>(выплата по Еврооблигациям в иностранной валюте осуществляется в порядке, предусмотренном Указом, с 15.12.2023)</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Наименование и адрес Получателя </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Номер счета Получателя </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Наименование и SWIFT код Банка Получателя</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Номер корреспондентского счета Банка Получателя в банке корреспонденте </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lastRenderedPageBreak/>
              <w:t>Наименование и SWIFT код банка корреспондента</w:t>
            </w:r>
          </w:p>
          <w:p w:rsidR="00147089" w:rsidRPr="00147089" w:rsidRDefault="00147089" w:rsidP="006C0D45">
            <w:pPr>
              <w:pStyle w:val="Default"/>
              <w:rPr>
                <w:color w:val="auto"/>
                <w:sz w:val="22"/>
                <w:szCs w:val="22"/>
              </w:rPr>
            </w:pPr>
          </w:p>
          <w:p w:rsidR="00147089" w:rsidRPr="00147089" w:rsidRDefault="00147089" w:rsidP="006C0D45">
            <w:pPr>
              <w:jc w:val="both"/>
              <w:rPr>
                <w:rFonts w:ascii="Times New Roman" w:hAnsi="Times New Roman" w:cs="Times New Roman"/>
                <w:i/>
                <w:sz w:val="24"/>
                <w:szCs w:val="24"/>
              </w:rPr>
            </w:pPr>
            <w:r w:rsidRPr="00147089">
              <w:rPr>
                <w:rFonts w:ascii="Times New Roman" w:hAnsi="Times New Roman" w:cs="Times New Roman"/>
                <w:i/>
                <w:sz w:val="24"/>
                <w:szCs w:val="24"/>
              </w:rPr>
              <w:t xml:space="preserve">В реквизитах на перевод денежных средств должен присутствовать банк страны/зоны эмитента валюты платежа (например, банк «еврозоны», в случае валюты перевода EUR или американский банк, в случае перевода в USD). </w:t>
            </w:r>
          </w:p>
          <w:p w:rsidR="00147089" w:rsidRPr="00147089" w:rsidRDefault="00147089" w:rsidP="006C0D45">
            <w:pPr>
              <w:jc w:val="both"/>
              <w:rPr>
                <w:rFonts w:ascii="Times New Roman" w:hAnsi="Times New Roman" w:cs="Times New Roman"/>
                <w:sz w:val="24"/>
                <w:szCs w:val="24"/>
              </w:rPr>
            </w:pPr>
            <w:r w:rsidRPr="00147089">
              <w:rPr>
                <w:rFonts w:ascii="Times New Roman" w:hAnsi="Times New Roman" w:cs="Times New Roman"/>
                <w:i/>
                <w:sz w:val="24"/>
                <w:szCs w:val="24"/>
              </w:rPr>
              <w:t xml:space="preserve">В назначении платежа просим указать «INCOME PAYMENT UNDER BELGIUM/LUXEMBURG TREASURY LICENSE [указать дату и </w:t>
            </w:r>
            <w:proofErr w:type="spellStart"/>
            <w:r w:rsidRPr="00147089">
              <w:rPr>
                <w:rFonts w:ascii="Times New Roman" w:hAnsi="Times New Roman" w:cs="Times New Roman"/>
                <w:i/>
                <w:sz w:val="24"/>
                <w:szCs w:val="24"/>
              </w:rPr>
              <w:t>референс</w:t>
            </w:r>
            <w:proofErr w:type="spellEnd"/>
            <w:r w:rsidRPr="00147089">
              <w:rPr>
                <w:rFonts w:ascii="Times New Roman" w:hAnsi="Times New Roman" w:cs="Times New Roman"/>
                <w:i/>
                <w:sz w:val="24"/>
                <w:szCs w:val="24"/>
              </w:rPr>
              <w:t>/TID номер Разрешения]».                                                                                                                  (выбрать нужного регулятора)</w:t>
            </w:r>
          </w:p>
        </w:tc>
        <w:tc>
          <w:tcPr>
            <w:tcW w:w="4536" w:type="dxa"/>
          </w:tcPr>
          <w:p w:rsidR="00147089" w:rsidRPr="00147089" w:rsidRDefault="00147089" w:rsidP="006C0D45">
            <w:pPr>
              <w:jc w:val="both"/>
              <w:rPr>
                <w:rFonts w:ascii="Times New Roman" w:hAnsi="Times New Roman" w:cs="Times New Roman"/>
                <w:sz w:val="24"/>
                <w:szCs w:val="24"/>
              </w:rPr>
            </w:pPr>
          </w:p>
        </w:tc>
      </w:tr>
      <w:tr w:rsidR="00147089" w:rsidRPr="00147089" w:rsidTr="006C0D45">
        <w:tc>
          <w:tcPr>
            <w:tcW w:w="9392" w:type="dxa"/>
            <w:gridSpan w:val="4"/>
          </w:tcPr>
          <w:p w:rsidR="00147089" w:rsidRPr="00147089" w:rsidRDefault="00147089" w:rsidP="006C0D45">
            <w:pPr>
              <w:tabs>
                <w:tab w:val="left" w:pos="1134"/>
                <w:tab w:val="left" w:pos="9356"/>
              </w:tabs>
              <w:ind w:right="-1"/>
              <w:jc w:val="both"/>
              <w:rPr>
                <w:rFonts w:ascii="Times New Roman" w:hAnsi="Times New Roman" w:cs="Times New Roman"/>
                <w:b/>
                <w:sz w:val="24"/>
                <w:szCs w:val="24"/>
              </w:rPr>
            </w:pPr>
            <w:r w:rsidRPr="00147089">
              <w:rPr>
                <w:rFonts w:ascii="Times New Roman" w:hAnsi="Times New Roman" w:cs="Times New Roman"/>
                <w:b/>
                <w:sz w:val="24"/>
                <w:szCs w:val="24"/>
              </w:rPr>
              <w:t>Ссылка на официальный сайт в информационно-телекоммуникационной сети «Интернет» уполномоченного органа, выдавшего лицензию (разрешение) либо включившего Иностранный депозитарий в перечень (реестр) организаций, уполномоченных осуществлять учет и переход прав на ценные бумаги</w:t>
            </w:r>
          </w:p>
          <w:p w:rsidR="00147089" w:rsidRPr="00147089" w:rsidRDefault="00147089" w:rsidP="006C0D45">
            <w:pPr>
              <w:tabs>
                <w:tab w:val="left" w:pos="1134"/>
                <w:tab w:val="left" w:pos="9356"/>
              </w:tabs>
              <w:ind w:right="-1"/>
              <w:rPr>
                <w:rFonts w:ascii="Times New Roman" w:hAnsi="Times New Roman" w:cs="Times New Roman"/>
                <w:sz w:val="24"/>
                <w:szCs w:val="24"/>
              </w:rPr>
            </w:pPr>
            <w:r w:rsidRPr="00147089">
              <w:rPr>
                <w:rFonts w:ascii="Times New Roman" w:hAnsi="Times New Roman" w:cs="Times New Roman"/>
                <w:i/>
                <w:sz w:val="24"/>
                <w:szCs w:val="24"/>
              </w:rPr>
              <w:t>(повторяющийся блок для каждого Иностранного депозитария)</w:t>
            </w: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i/>
                <w:sz w:val="24"/>
                <w:szCs w:val="24"/>
              </w:rPr>
            </w:pPr>
            <w:r w:rsidRPr="00147089">
              <w:rPr>
                <w:rFonts w:ascii="Times New Roman" w:hAnsi="Times New Roman" w:cs="Times New Roman"/>
                <w:sz w:val="24"/>
                <w:szCs w:val="24"/>
              </w:rPr>
              <w:t>Полное наименование Иностранного депозитария</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i/>
                <w:sz w:val="24"/>
                <w:szCs w:val="24"/>
              </w:rPr>
            </w:pPr>
            <w:r w:rsidRPr="00147089">
              <w:rPr>
                <w:rFonts w:ascii="Times New Roman" w:hAnsi="Times New Roman" w:cs="Times New Roman"/>
                <w:sz w:val="24"/>
                <w:szCs w:val="24"/>
              </w:rPr>
              <w:t>Ссылка на страницу официального сайта уполномоченного органа</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c>
          <w:tcPr>
            <w:tcW w:w="9392" w:type="dxa"/>
            <w:gridSpan w:val="4"/>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b/>
                <w:sz w:val="24"/>
                <w:szCs w:val="24"/>
              </w:rPr>
              <w:t xml:space="preserve">При </w:t>
            </w:r>
            <w:r w:rsidRPr="00147089">
              <w:rPr>
                <w:rFonts w:ascii="Times New Roman" w:hAnsi="Times New Roman" w:cs="Times New Roman"/>
                <w:b/>
                <w:bCs/>
                <w:sz w:val="24"/>
                <w:szCs w:val="24"/>
              </w:rPr>
              <w:t>предоставлении документов в случае наличия Ограничений</w:t>
            </w:r>
          </w:p>
        </w:tc>
      </w:tr>
      <w:tr w:rsidR="00147089" w:rsidRPr="00147089" w:rsidTr="006C0D45">
        <w:trPr>
          <w:gridAfter w:val="1"/>
          <w:wAfter w:w="8" w:type="dxa"/>
        </w:trPr>
        <w:tc>
          <w:tcPr>
            <w:tcW w:w="1021" w:type="dxa"/>
            <w:vMerge w:val="restart"/>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vMerge w:val="restart"/>
          </w:tcPr>
          <w:p w:rsidR="00147089" w:rsidRPr="00147089" w:rsidRDefault="00147089" w:rsidP="006C0D45">
            <w:pPr>
              <w:tabs>
                <w:tab w:val="left" w:pos="1134"/>
                <w:tab w:val="left" w:pos="2160"/>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Вид Ограничения </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c>
          <w:tcPr>
            <w:tcW w:w="4536" w:type="dxa"/>
          </w:tcPr>
          <w:p w:rsidR="00147089" w:rsidRPr="00147089" w:rsidRDefault="00147089" w:rsidP="00147089">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rPr>
            </w:pPr>
            <w:r w:rsidRPr="00147089">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47089">
              <w:rPr>
                <w:rFonts w:ascii="Times New Roman" w:hAnsi="Times New Roman" w:cs="Times New Roman"/>
                <w:b/>
                <w:sz w:val="24"/>
                <w:szCs w:val="24"/>
              </w:rPr>
              <w:t>в отношении</w:t>
            </w:r>
            <w:r w:rsidRPr="00147089">
              <w:rPr>
                <w:rFonts w:ascii="Times New Roman" w:hAnsi="Times New Roman" w:cs="Times New Roman"/>
                <w:sz w:val="24"/>
                <w:szCs w:val="24"/>
              </w:rPr>
              <w:t xml:space="preserve"> </w:t>
            </w:r>
            <w:r w:rsidRPr="00147089">
              <w:rPr>
                <w:rFonts w:ascii="Times New Roman" w:hAnsi="Times New Roman" w:cs="Times New Roman"/>
                <w:b/>
                <w:sz w:val="24"/>
                <w:szCs w:val="24"/>
              </w:rPr>
              <w:t>Держателя Еврооблигаций</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vMerge/>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vMerge/>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c>
          <w:tcPr>
            <w:tcW w:w="4536" w:type="dxa"/>
          </w:tcPr>
          <w:p w:rsidR="00147089" w:rsidRPr="00147089" w:rsidRDefault="00147089" w:rsidP="00147089">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b/>
                <w:sz w:val="24"/>
                <w:szCs w:val="24"/>
              </w:rPr>
            </w:pPr>
            <w:r w:rsidRPr="00147089">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47089">
              <w:rPr>
                <w:rFonts w:ascii="Times New Roman" w:hAnsi="Times New Roman" w:cs="Times New Roman"/>
                <w:b/>
                <w:sz w:val="24"/>
                <w:szCs w:val="24"/>
              </w:rPr>
              <w:t xml:space="preserve">в отношении лица, </w:t>
            </w:r>
            <w:r w:rsidRPr="00147089">
              <w:rPr>
                <w:rFonts w:ascii="Times New Roman" w:hAnsi="Times New Roman" w:cs="Times New Roman"/>
                <w:b/>
                <w:sz w:val="24"/>
                <w:szCs w:val="24"/>
              </w:rPr>
              <w:lastRenderedPageBreak/>
              <w:t>владеющего прямо или косвенно, единолично или в совокупности 50 или более процентами акций (долей)</w:t>
            </w:r>
            <w:r w:rsidRPr="00147089">
              <w:rPr>
                <w:rFonts w:ascii="Times New Roman" w:hAnsi="Times New Roman" w:cs="Times New Roman"/>
                <w:sz w:val="24"/>
                <w:szCs w:val="24"/>
              </w:rPr>
              <w:t xml:space="preserve"> </w:t>
            </w:r>
            <w:proofErr w:type="gramStart"/>
            <w:r w:rsidRPr="00147089">
              <w:rPr>
                <w:rFonts w:ascii="Times New Roman" w:hAnsi="Times New Roman" w:cs="Times New Roman"/>
                <w:b/>
                <w:sz w:val="24"/>
                <w:szCs w:val="24"/>
              </w:rPr>
              <w:t>лица,</w:t>
            </w:r>
            <w:r w:rsidRPr="00147089">
              <w:rPr>
                <w:rFonts w:ascii="Times New Roman" w:hAnsi="Times New Roman" w:cs="Times New Roman"/>
                <w:sz w:val="24"/>
                <w:szCs w:val="24"/>
              </w:rPr>
              <w:t xml:space="preserve"> </w:t>
            </w:r>
            <w:r w:rsidRPr="00147089">
              <w:rPr>
                <w:rFonts w:ascii="Times New Roman" w:hAnsi="Times New Roman" w:cs="Times New Roman"/>
                <w:b/>
                <w:sz w:val="24"/>
                <w:szCs w:val="24"/>
              </w:rPr>
              <w:t xml:space="preserve"> являющегося</w:t>
            </w:r>
            <w:proofErr w:type="gramEnd"/>
            <w:r w:rsidRPr="00147089">
              <w:rPr>
                <w:rFonts w:ascii="Times New Roman" w:hAnsi="Times New Roman" w:cs="Times New Roman"/>
                <w:b/>
                <w:sz w:val="24"/>
                <w:szCs w:val="24"/>
              </w:rPr>
              <w:t xml:space="preserve"> Держателем Еврооблигаций</w:t>
            </w:r>
          </w:p>
          <w:p w:rsidR="00147089" w:rsidRPr="00147089" w:rsidRDefault="00147089" w:rsidP="006C0D45">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47089">
              <w:rPr>
                <w:rFonts w:ascii="Times New Roman" w:hAnsi="Times New Roman" w:cs="Times New Roman"/>
                <w:i/>
                <w:sz w:val="20"/>
                <w:szCs w:val="20"/>
              </w:rPr>
              <w:t>__________________________________________</w:t>
            </w:r>
          </w:p>
          <w:p w:rsidR="00147089" w:rsidRPr="00147089" w:rsidRDefault="00147089" w:rsidP="006C0D45">
            <w:pPr>
              <w:tabs>
                <w:tab w:val="left" w:pos="67"/>
                <w:tab w:val="left" w:pos="607"/>
                <w:tab w:val="left" w:pos="1134"/>
                <w:tab w:val="left" w:pos="2160"/>
                <w:tab w:val="left" w:pos="9356"/>
              </w:tabs>
              <w:spacing w:after="120"/>
              <w:jc w:val="both"/>
              <w:rPr>
                <w:rFonts w:ascii="Times New Roman" w:hAnsi="Times New Roman" w:cs="Times New Roman"/>
                <w:i/>
                <w:sz w:val="20"/>
                <w:szCs w:val="20"/>
              </w:rPr>
            </w:pPr>
            <w:r w:rsidRPr="00147089">
              <w:rPr>
                <w:rFonts w:ascii="Times New Roman" w:hAnsi="Times New Roman" w:cs="Times New Roman"/>
                <w:i/>
                <w:sz w:val="20"/>
                <w:szCs w:val="20"/>
              </w:rPr>
              <w:t>__________________________________________</w:t>
            </w:r>
          </w:p>
          <w:p w:rsidR="00147089" w:rsidRPr="00147089" w:rsidRDefault="00147089" w:rsidP="006C0D45">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47089">
              <w:rPr>
                <w:rFonts w:ascii="Times New Roman" w:hAnsi="Times New Roman" w:cs="Times New Roman"/>
                <w:sz w:val="24"/>
                <w:szCs w:val="20"/>
              </w:rPr>
              <w:t>Наименование лица, владеющего прямо или косвенно, единолично или в совокупности 50 или более процентами акций (долей) лица, являющегося Держателем Еврооблигаций:</w:t>
            </w:r>
            <w:r w:rsidRPr="00147089">
              <w:rPr>
                <w:rFonts w:ascii="Times New Roman" w:hAnsi="Times New Roman" w:cs="Times New Roman"/>
                <w:i/>
                <w:sz w:val="24"/>
                <w:szCs w:val="20"/>
              </w:rPr>
              <w:t xml:space="preserve"> </w:t>
            </w:r>
            <w:r w:rsidRPr="00147089">
              <w:rPr>
                <w:rFonts w:ascii="Times New Roman" w:hAnsi="Times New Roman" w:cs="Times New Roman"/>
                <w:i/>
                <w:sz w:val="20"/>
                <w:szCs w:val="20"/>
              </w:rPr>
              <w:t>__________________________________________</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i/>
                <w:sz w:val="20"/>
                <w:szCs w:val="20"/>
              </w:rPr>
              <w:t>__________________________________________</w:t>
            </w:r>
          </w:p>
        </w:tc>
      </w:tr>
      <w:tr w:rsidR="00147089" w:rsidRPr="00147089" w:rsidTr="006C0D45">
        <w:trPr>
          <w:gridAfter w:val="1"/>
          <w:wAfter w:w="8" w:type="dxa"/>
        </w:trPr>
        <w:tc>
          <w:tcPr>
            <w:tcW w:w="1021" w:type="dxa"/>
            <w:vMerge/>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vMerge/>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c>
          <w:tcPr>
            <w:tcW w:w="4536" w:type="dxa"/>
          </w:tcPr>
          <w:p w:rsidR="00147089" w:rsidRPr="00147089" w:rsidRDefault="00147089" w:rsidP="00147089">
            <w:pPr>
              <w:pStyle w:val="a7"/>
              <w:numPr>
                <w:ilvl w:val="0"/>
                <w:numId w:val="2"/>
              </w:numPr>
              <w:tabs>
                <w:tab w:val="left" w:pos="67"/>
                <w:tab w:val="left" w:pos="607"/>
                <w:tab w:val="left" w:pos="1134"/>
                <w:tab w:val="left" w:pos="2160"/>
                <w:tab w:val="left" w:pos="9356"/>
              </w:tabs>
              <w:spacing w:before="0" w:after="120" w:line="240" w:lineRule="auto"/>
              <w:ind w:left="607" w:hanging="567"/>
              <w:contextualSpacing w:val="0"/>
              <w:jc w:val="both"/>
              <w:rPr>
                <w:rFonts w:ascii="Times New Roman" w:hAnsi="Times New Roman" w:cs="Times New Roman"/>
                <w:sz w:val="24"/>
                <w:szCs w:val="24"/>
              </w:rPr>
            </w:pPr>
            <w:r w:rsidRPr="00147089">
              <w:rPr>
                <w:rFonts w:ascii="Times New Roman" w:hAnsi="Times New Roman" w:cs="Times New Roman"/>
                <w:sz w:val="24"/>
                <w:szCs w:val="24"/>
              </w:rPr>
              <w:t xml:space="preserve">Ограничительные меры, введенные уполномоченными органами иностранных государств, международными организациями, иностранными финансовыми организациями </w:t>
            </w:r>
            <w:r w:rsidRPr="00147089">
              <w:rPr>
                <w:rFonts w:ascii="Times New Roman" w:hAnsi="Times New Roman" w:cs="Times New Roman"/>
                <w:b/>
                <w:sz w:val="24"/>
                <w:szCs w:val="24"/>
              </w:rPr>
              <w:t>в отношении территории регистрации (гражданства) Держателя Еврооблигаций</w:t>
            </w:r>
          </w:p>
          <w:p w:rsidR="00147089" w:rsidRPr="00147089" w:rsidRDefault="00147089" w:rsidP="006C0D45">
            <w:pPr>
              <w:tabs>
                <w:tab w:val="left" w:pos="67"/>
                <w:tab w:val="left" w:pos="607"/>
                <w:tab w:val="left" w:pos="1134"/>
                <w:tab w:val="left" w:pos="2160"/>
                <w:tab w:val="left" w:pos="9356"/>
              </w:tabs>
              <w:spacing w:after="120"/>
              <w:ind w:left="40"/>
              <w:jc w:val="both"/>
              <w:rPr>
                <w:rFonts w:ascii="Times New Roman" w:hAnsi="Times New Roman" w:cs="Times New Roman"/>
                <w:i/>
                <w:sz w:val="20"/>
                <w:szCs w:val="20"/>
              </w:rPr>
            </w:pPr>
            <w:r w:rsidRPr="00147089">
              <w:rPr>
                <w:rFonts w:ascii="Times New Roman" w:hAnsi="Times New Roman" w:cs="Times New Roman"/>
                <w:sz w:val="24"/>
                <w:szCs w:val="20"/>
              </w:rPr>
              <w:t>Наименование территории регистрации (гражданства) Держателя Еврооблигаций:</w:t>
            </w:r>
            <w:r w:rsidRPr="00147089">
              <w:rPr>
                <w:rFonts w:ascii="Times New Roman" w:hAnsi="Times New Roman" w:cs="Times New Roman"/>
                <w:i/>
                <w:sz w:val="24"/>
                <w:szCs w:val="20"/>
              </w:rPr>
              <w:t xml:space="preserve"> </w:t>
            </w:r>
            <w:r w:rsidRPr="00147089">
              <w:rPr>
                <w:rFonts w:ascii="Times New Roman" w:hAnsi="Times New Roman" w:cs="Times New Roman"/>
                <w:i/>
                <w:sz w:val="20"/>
                <w:szCs w:val="20"/>
              </w:rPr>
              <w:t>__________________________________________</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i/>
                <w:sz w:val="20"/>
                <w:szCs w:val="20"/>
              </w:rPr>
              <w:t>__________________________________________</w:t>
            </w: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0"/>
              </w:rPr>
              <w:t>Наименование иностранного государства/ международной организации/ иностранной финансовой организации, которое ввело Ограничения</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eastAsia="Calibri" w:hAnsi="Times New Roman" w:cs="Times New Roman"/>
                <w:bCs/>
                <w:snapToGrid w:val="0"/>
                <w:sz w:val="24"/>
                <w:szCs w:val="24"/>
              </w:rPr>
              <w:t>Дата введения Ограничения (с указанием даты и номера решения, если применимо)</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eastAsia="Calibri" w:hAnsi="Times New Roman" w:cs="Times New Roman"/>
                <w:bCs/>
                <w:snapToGrid w:val="0"/>
                <w:sz w:val="24"/>
                <w:szCs w:val="24"/>
              </w:rPr>
              <w:t>Ссылки на официальный источник и (или) официальный сайт органа/ организации, принявшего решение о введении Ограничений</w:t>
            </w:r>
          </w:p>
        </w:tc>
        <w:tc>
          <w:tcPr>
            <w:tcW w:w="4536"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c>
          <w:tcPr>
            <w:tcW w:w="9392" w:type="dxa"/>
            <w:gridSpan w:val="4"/>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b/>
                <w:sz w:val="24"/>
                <w:szCs w:val="24"/>
              </w:rPr>
              <w:t xml:space="preserve">При предоставлении документов, идентифицирующих Держателя Еврооблигаций, в порядке, предусмотренном пунктом </w:t>
            </w:r>
            <w:r w:rsidRPr="00147089">
              <w:rPr>
                <w:rFonts w:ascii="Times New Roman" w:hAnsi="Times New Roman" w:cs="Times New Roman"/>
                <w:b/>
                <w:sz w:val="24"/>
                <w:szCs w:val="24"/>
              </w:rPr>
              <w:fldChar w:fldCharType="begin"/>
            </w:r>
            <w:r w:rsidRPr="00147089">
              <w:rPr>
                <w:rFonts w:ascii="Times New Roman" w:hAnsi="Times New Roman" w:cs="Times New Roman"/>
                <w:b/>
                <w:sz w:val="24"/>
                <w:szCs w:val="24"/>
              </w:rPr>
              <w:instrText xml:space="preserve"> REF _Ref113009598 \r \h  \* MERGEFORMAT </w:instrText>
            </w:r>
            <w:r w:rsidRPr="00147089">
              <w:rPr>
                <w:rFonts w:ascii="Times New Roman" w:hAnsi="Times New Roman" w:cs="Times New Roman"/>
                <w:b/>
                <w:sz w:val="24"/>
                <w:szCs w:val="24"/>
              </w:rPr>
            </w:r>
            <w:r w:rsidRPr="00147089">
              <w:rPr>
                <w:rFonts w:ascii="Times New Roman" w:hAnsi="Times New Roman" w:cs="Times New Roman"/>
                <w:b/>
                <w:sz w:val="24"/>
                <w:szCs w:val="24"/>
              </w:rPr>
              <w:fldChar w:fldCharType="separate"/>
            </w:r>
            <w:r w:rsidRPr="00147089">
              <w:rPr>
                <w:rFonts w:ascii="Times New Roman" w:hAnsi="Times New Roman" w:cs="Times New Roman"/>
                <w:b/>
                <w:sz w:val="24"/>
                <w:szCs w:val="24"/>
              </w:rPr>
              <w:t>2.8</w:t>
            </w:r>
            <w:r w:rsidRPr="00147089">
              <w:rPr>
                <w:rFonts w:ascii="Times New Roman" w:hAnsi="Times New Roman" w:cs="Times New Roman"/>
                <w:b/>
                <w:sz w:val="24"/>
                <w:szCs w:val="24"/>
              </w:rPr>
              <w:fldChar w:fldCharType="end"/>
            </w:r>
            <w:r w:rsidRPr="00147089">
              <w:rPr>
                <w:rFonts w:ascii="Times New Roman" w:hAnsi="Times New Roman" w:cs="Times New Roman"/>
                <w:b/>
                <w:sz w:val="24"/>
                <w:szCs w:val="24"/>
              </w:rPr>
              <w:t xml:space="preserve"> раздела 2 Перечня</w:t>
            </w:r>
          </w:p>
        </w:tc>
      </w:tr>
      <w:tr w:rsidR="00147089" w:rsidRPr="00147089" w:rsidTr="006C0D45">
        <w:trPr>
          <w:gridAfter w:val="1"/>
          <w:wAfter w:w="8" w:type="dxa"/>
        </w:trPr>
        <w:tc>
          <w:tcPr>
            <w:tcW w:w="1021" w:type="dxa"/>
          </w:tcPr>
          <w:p w:rsidR="00147089" w:rsidRPr="00147089"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Документы, идентифицирующие Держателя Еврооблигаций, предоставлены в НРД менее 1 (одного) года назад, изменения в указанных документах (в том числе в соответствующих Анкетах) отсутствуют </w:t>
            </w:r>
          </w:p>
        </w:tc>
        <w:tc>
          <w:tcPr>
            <w:tcW w:w="4536" w:type="dxa"/>
          </w:tcPr>
          <w:p w:rsidR="00147089" w:rsidRPr="00147089" w:rsidRDefault="00147089" w:rsidP="00147089">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147089">
              <w:rPr>
                <w:rFonts w:ascii="Times New Roman" w:hAnsi="Times New Roman" w:cs="Times New Roman"/>
                <w:sz w:val="24"/>
                <w:szCs w:val="24"/>
              </w:rPr>
              <w:t>ДА</w:t>
            </w:r>
          </w:p>
          <w:p w:rsidR="00147089" w:rsidRPr="00147089" w:rsidRDefault="00147089" w:rsidP="006C0D45">
            <w:pPr>
              <w:tabs>
                <w:tab w:val="left" w:pos="1134"/>
                <w:tab w:val="left" w:pos="9356"/>
              </w:tabs>
              <w:ind w:right="-1"/>
              <w:jc w:val="both"/>
              <w:rPr>
                <w:rFonts w:ascii="Times New Roman" w:hAnsi="Times New Roman" w:cs="Times New Roman"/>
                <w:sz w:val="24"/>
                <w:szCs w:val="24"/>
              </w:rPr>
            </w:pPr>
          </w:p>
        </w:tc>
      </w:tr>
      <w:tr w:rsidR="00147089" w:rsidRPr="00147089" w:rsidTr="006C0D45">
        <w:tc>
          <w:tcPr>
            <w:tcW w:w="9392" w:type="dxa"/>
            <w:gridSpan w:val="4"/>
          </w:tcPr>
          <w:p w:rsidR="00147089" w:rsidRPr="00147089" w:rsidRDefault="00147089" w:rsidP="006C0D45">
            <w:pPr>
              <w:tabs>
                <w:tab w:val="left" w:pos="67"/>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b/>
                <w:sz w:val="24"/>
                <w:szCs w:val="24"/>
              </w:rPr>
              <w:t xml:space="preserve">Держатель Еврооблигаций является иностранной структурой, относящейся к схемам коллективного инвестирования </w:t>
            </w:r>
          </w:p>
        </w:tc>
      </w:tr>
      <w:tr w:rsidR="00147089" w:rsidRPr="00147089" w:rsidTr="006C0D45">
        <w:trPr>
          <w:gridAfter w:val="1"/>
          <w:wAfter w:w="8" w:type="dxa"/>
        </w:trPr>
        <w:tc>
          <w:tcPr>
            <w:tcW w:w="1021" w:type="dxa"/>
          </w:tcPr>
          <w:p w:rsidR="00147089" w:rsidRPr="00147089" w:rsidDel="0009745B"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Возможные значения </w:t>
            </w:r>
          </w:p>
        </w:tc>
        <w:tc>
          <w:tcPr>
            <w:tcW w:w="4536" w:type="dxa"/>
          </w:tcPr>
          <w:p w:rsidR="00147089" w:rsidRPr="00147089" w:rsidRDefault="00147089" w:rsidP="00147089">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147089">
              <w:rPr>
                <w:rFonts w:ascii="Times New Roman" w:hAnsi="Times New Roman" w:cs="Times New Roman"/>
                <w:sz w:val="24"/>
                <w:szCs w:val="24"/>
              </w:rPr>
              <w:t>ДА</w:t>
            </w:r>
          </w:p>
          <w:p w:rsidR="00147089" w:rsidRPr="00147089" w:rsidRDefault="00147089" w:rsidP="00147089">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147089">
              <w:rPr>
                <w:rFonts w:ascii="Times New Roman" w:hAnsi="Times New Roman" w:cs="Times New Roman"/>
                <w:sz w:val="24"/>
                <w:szCs w:val="24"/>
              </w:rPr>
              <w:t>НЕТ</w:t>
            </w:r>
          </w:p>
        </w:tc>
      </w:tr>
      <w:tr w:rsidR="00147089" w:rsidRPr="00147089" w:rsidTr="006C0D45">
        <w:tc>
          <w:tcPr>
            <w:tcW w:w="9392" w:type="dxa"/>
            <w:gridSpan w:val="4"/>
          </w:tcPr>
          <w:p w:rsidR="00147089" w:rsidRPr="00147089" w:rsidRDefault="00147089" w:rsidP="006C0D45">
            <w:pPr>
              <w:tabs>
                <w:tab w:val="left" w:pos="67"/>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b/>
                <w:sz w:val="24"/>
                <w:szCs w:val="24"/>
              </w:rPr>
              <w:t>При предоставлении Держателем Еврооблигаций документов до вступления в силу Приказа</w:t>
            </w:r>
          </w:p>
        </w:tc>
      </w:tr>
      <w:tr w:rsidR="00147089" w:rsidRPr="00147089" w:rsidTr="006C0D45">
        <w:trPr>
          <w:gridAfter w:val="1"/>
          <w:wAfter w:w="8" w:type="dxa"/>
        </w:trPr>
        <w:tc>
          <w:tcPr>
            <w:tcW w:w="1021" w:type="dxa"/>
          </w:tcPr>
          <w:p w:rsidR="00147089" w:rsidRPr="00147089" w:rsidDel="0009745B" w:rsidRDefault="00147089" w:rsidP="00147089">
            <w:pPr>
              <w:pStyle w:val="a7"/>
              <w:numPr>
                <w:ilvl w:val="0"/>
                <w:numId w:val="4"/>
              </w:numPr>
              <w:tabs>
                <w:tab w:val="left" w:pos="1134"/>
                <w:tab w:val="left" w:pos="9356"/>
              </w:tabs>
              <w:spacing w:after="0" w:line="240" w:lineRule="auto"/>
              <w:ind w:right="-1"/>
              <w:jc w:val="both"/>
              <w:rPr>
                <w:rFonts w:ascii="Times New Roman" w:hAnsi="Times New Roman" w:cs="Times New Roman"/>
                <w:sz w:val="24"/>
                <w:szCs w:val="24"/>
              </w:rPr>
            </w:pPr>
          </w:p>
        </w:tc>
        <w:tc>
          <w:tcPr>
            <w:tcW w:w="3827" w:type="dxa"/>
          </w:tcPr>
          <w:p w:rsidR="00147089" w:rsidRPr="00147089" w:rsidRDefault="00147089" w:rsidP="006C0D45">
            <w:pPr>
              <w:tabs>
                <w:tab w:val="left" w:pos="1134"/>
                <w:tab w:val="left" w:pos="9356"/>
              </w:tabs>
              <w:ind w:right="-1"/>
              <w:jc w:val="both"/>
              <w:rPr>
                <w:rFonts w:ascii="Times New Roman" w:hAnsi="Times New Roman" w:cs="Times New Roman"/>
                <w:sz w:val="24"/>
                <w:szCs w:val="24"/>
              </w:rPr>
            </w:pPr>
            <w:r w:rsidRPr="00147089">
              <w:rPr>
                <w:rFonts w:ascii="Times New Roman" w:hAnsi="Times New Roman" w:cs="Times New Roman"/>
                <w:sz w:val="24"/>
                <w:szCs w:val="24"/>
              </w:rPr>
              <w:t xml:space="preserve">Документы для выплаты были предоставлены в НРД до вступления в силу Приказа </w:t>
            </w:r>
          </w:p>
        </w:tc>
        <w:tc>
          <w:tcPr>
            <w:tcW w:w="4536" w:type="dxa"/>
          </w:tcPr>
          <w:p w:rsidR="00147089" w:rsidRPr="00147089" w:rsidRDefault="00147089" w:rsidP="00147089">
            <w:pPr>
              <w:pStyle w:val="a7"/>
              <w:numPr>
                <w:ilvl w:val="0"/>
                <w:numId w:val="2"/>
              </w:numPr>
              <w:tabs>
                <w:tab w:val="left" w:pos="67"/>
                <w:tab w:val="left" w:pos="1134"/>
                <w:tab w:val="left" w:pos="9356"/>
              </w:tabs>
              <w:spacing w:before="0" w:after="0" w:line="240" w:lineRule="auto"/>
              <w:ind w:left="454" w:right="-1" w:hanging="454"/>
              <w:jc w:val="both"/>
              <w:rPr>
                <w:rFonts w:ascii="Times New Roman" w:hAnsi="Times New Roman" w:cs="Times New Roman"/>
                <w:sz w:val="24"/>
                <w:szCs w:val="24"/>
              </w:rPr>
            </w:pPr>
            <w:r w:rsidRPr="00147089">
              <w:rPr>
                <w:rFonts w:ascii="Times New Roman" w:hAnsi="Times New Roman" w:cs="Times New Roman"/>
                <w:sz w:val="24"/>
                <w:szCs w:val="24"/>
              </w:rPr>
              <w:t>ДА</w:t>
            </w:r>
          </w:p>
          <w:p w:rsidR="00147089" w:rsidRPr="00147089" w:rsidRDefault="00147089" w:rsidP="006C0D45">
            <w:pPr>
              <w:pStyle w:val="a7"/>
              <w:tabs>
                <w:tab w:val="left" w:pos="67"/>
                <w:tab w:val="left" w:pos="1134"/>
                <w:tab w:val="left" w:pos="9356"/>
              </w:tabs>
              <w:spacing w:before="0"/>
              <w:ind w:left="454" w:right="-1"/>
              <w:jc w:val="both"/>
              <w:rPr>
                <w:rFonts w:ascii="Times New Roman" w:hAnsi="Times New Roman" w:cs="Times New Roman"/>
                <w:sz w:val="24"/>
                <w:szCs w:val="24"/>
              </w:rPr>
            </w:pPr>
          </w:p>
        </w:tc>
      </w:tr>
    </w:tbl>
    <w:p w:rsidR="00147089" w:rsidRPr="00147089" w:rsidRDefault="00147089" w:rsidP="00147089">
      <w:pPr>
        <w:tabs>
          <w:tab w:val="left" w:pos="1134"/>
          <w:tab w:val="left" w:pos="9356"/>
        </w:tabs>
        <w:ind w:left="851" w:right="-1" w:hanging="851"/>
        <w:jc w:val="both"/>
        <w:rPr>
          <w:rFonts w:ascii="Times New Roman" w:hAnsi="Times New Roman" w:cs="Times New Roman"/>
          <w:sz w:val="24"/>
          <w:szCs w:val="24"/>
        </w:rPr>
      </w:pPr>
      <w:r w:rsidRPr="00147089">
        <w:rPr>
          <w:rFonts w:ascii="Times New Roman" w:hAnsi="Times New Roman" w:cs="Times New Roman"/>
          <w:sz w:val="24"/>
          <w:szCs w:val="24"/>
        </w:rPr>
        <w:t>Перечень прилагаемых документов:</w:t>
      </w:r>
    </w:p>
    <w:p w:rsidR="00147089" w:rsidRPr="00147089" w:rsidRDefault="00147089" w:rsidP="00147089">
      <w:pPr>
        <w:pStyle w:val="a7"/>
        <w:numPr>
          <w:ilvl w:val="0"/>
          <w:numId w:val="3"/>
        </w:numPr>
        <w:tabs>
          <w:tab w:val="left" w:pos="1134"/>
          <w:tab w:val="left" w:pos="9356"/>
        </w:tabs>
        <w:ind w:right="-1"/>
        <w:jc w:val="both"/>
        <w:rPr>
          <w:rFonts w:ascii="Times New Roman" w:hAnsi="Times New Roman" w:cs="Times New Roman"/>
          <w:sz w:val="24"/>
          <w:szCs w:val="24"/>
        </w:rPr>
      </w:pPr>
    </w:p>
    <w:p w:rsidR="00147089" w:rsidRPr="00147089" w:rsidRDefault="00147089" w:rsidP="00147089">
      <w:pPr>
        <w:pStyle w:val="a7"/>
        <w:numPr>
          <w:ilvl w:val="0"/>
          <w:numId w:val="3"/>
        </w:numPr>
        <w:tabs>
          <w:tab w:val="left" w:pos="1134"/>
          <w:tab w:val="left" w:pos="9356"/>
        </w:tabs>
        <w:ind w:right="-1"/>
        <w:jc w:val="both"/>
        <w:rPr>
          <w:rFonts w:ascii="Times New Roman" w:hAnsi="Times New Roman" w:cs="Times New Roman"/>
          <w:sz w:val="24"/>
          <w:szCs w:val="24"/>
        </w:rPr>
      </w:pPr>
    </w:p>
    <w:p w:rsidR="00147089" w:rsidRPr="00147089" w:rsidRDefault="00147089" w:rsidP="00147089">
      <w:pPr>
        <w:tabs>
          <w:tab w:val="left" w:pos="1134"/>
          <w:tab w:val="left" w:pos="9356"/>
        </w:tabs>
        <w:ind w:left="851" w:right="-1" w:hanging="851"/>
        <w:jc w:val="both"/>
        <w:rPr>
          <w:rFonts w:ascii="Times New Roman" w:hAnsi="Times New Roman" w:cs="Times New Roman"/>
          <w:sz w:val="24"/>
          <w:szCs w:val="24"/>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147089" w:rsidRPr="00147089" w:rsidTr="006C0D45">
        <w:tc>
          <w:tcPr>
            <w:tcW w:w="3546" w:type="dxa"/>
          </w:tcPr>
          <w:p w:rsidR="00147089" w:rsidRPr="00147089" w:rsidRDefault="00147089" w:rsidP="006C0D45">
            <w:pPr>
              <w:tabs>
                <w:tab w:val="left" w:pos="1134"/>
                <w:tab w:val="left" w:pos="9356"/>
              </w:tabs>
              <w:ind w:right="-1"/>
              <w:jc w:val="center"/>
              <w:rPr>
                <w:rFonts w:ascii="Times New Roman" w:hAnsi="Times New Roman" w:cs="Times New Roman"/>
                <w:sz w:val="24"/>
                <w:szCs w:val="24"/>
              </w:rPr>
            </w:pPr>
            <w:r w:rsidRPr="00147089">
              <w:rPr>
                <w:rFonts w:ascii="Times New Roman" w:hAnsi="Times New Roman" w:cs="Times New Roman"/>
                <w:sz w:val="24"/>
                <w:szCs w:val="24"/>
              </w:rPr>
              <w:t>___________________________</w:t>
            </w:r>
          </w:p>
          <w:p w:rsidR="00147089" w:rsidRPr="00147089" w:rsidRDefault="00147089" w:rsidP="006C0D45">
            <w:pPr>
              <w:tabs>
                <w:tab w:val="left" w:pos="1134"/>
                <w:tab w:val="left" w:pos="9356"/>
              </w:tabs>
              <w:ind w:right="-1"/>
              <w:jc w:val="center"/>
              <w:rPr>
                <w:rFonts w:ascii="Times New Roman" w:hAnsi="Times New Roman" w:cs="Times New Roman"/>
                <w:sz w:val="24"/>
                <w:szCs w:val="24"/>
              </w:rPr>
            </w:pPr>
            <w:r w:rsidRPr="00147089">
              <w:rPr>
                <w:rFonts w:ascii="Times New Roman" w:hAnsi="Times New Roman" w:cs="Times New Roman"/>
                <w:sz w:val="24"/>
                <w:szCs w:val="24"/>
              </w:rPr>
              <w:t>(должность</w:t>
            </w:r>
            <w:r w:rsidRPr="00147089">
              <w:rPr>
                <w:rFonts w:ascii="Times New Roman" w:hAnsi="Times New Roman" w:cs="Times New Roman"/>
                <w:sz w:val="24"/>
                <w:szCs w:val="24"/>
                <w:lang w:val="en-US"/>
              </w:rPr>
              <w:t>/</w:t>
            </w:r>
            <w:r w:rsidRPr="00147089">
              <w:rPr>
                <w:rFonts w:ascii="Times New Roman" w:hAnsi="Times New Roman" w:cs="Times New Roman"/>
                <w:sz w:val="24"/>
                <w:szCs w:val="24"/>
              </w:rPr>
              <w:t>ФИО)</w:t>
            </w:r>
          </w:p>
        </w:tc>
        <w:tc>
          <w:tcPr>
            <w:tcW w:w="2831" w:type="dxa"/>
          </w:tcPr>
          <w:p w:rsidR="00147089" w:rsidRPr="00147089" w:rsidRDefault="00147089" w:rsidP="006C0D45">
            <w:pPr>
              <w:tabs>
                <w:tab w:val="left" w:pos="1134"/>
                <w:tab w:val="left" w:pos="9356"/>
              </w:tabs>
              <w:ind w:right="-1"/>
              <w:jc w:val="center"/>
              <w:rPr>
                <w:rFonts w:ascii="Times New Roman" w:hAnsi="Times New Roman" w:cs="Times New Roman"/>
                <w:sz w:val="24"/>
                <w:szCs w:val="24"/>
              </w:rPr>
            </w:pPr>
            <w:r w:rsidRPr="00147089">
              <w:rPr>
                <w:rFonts w:ascii="Times New Roman" w:hAnsi="Times New Roman" w:cs="Times New Roman"/>
                <w:sz w:val="24"/>
                <w:szCs w:val="24"/>
              </w:rPr>
              <w:softHyphen/>
            </w:r>
            <w:r w:rsidRPr="00147089">
              <w:rPr>
                <w:rFonts w:ascii="Times New Roman" w:hAnsi="Times New Roman" w:cs="Times New Roman"/>
                <w:sz w:val="24"/>
                <w:szCs w:val="24"/>
              </w:rPr>
              <w:softHyphen/>
            </w:r>
            <w:r w:rsidRPr="00147089">
              <w:rPr>
                <w:rFonts w:ascii="Times New Roman" w:hAnsi="Times New Roman" w:cs="Times New Roman"/>
                <w:sz w:val="24"/>
                <w:szCs w:val="24"/>
              </w:rPr>
              <w:softHyphen/>
            </w:r>
            <w:r w:rsidRPr="00147089">
              <w:rPr>
                <w:rFonts w:ascii="Times New Roman" w:hAnsi="Times New Roman" w:cs="Times New Roman"/>
                <w:sz w:val="24"/>
                <w:szCs w:val="24"/>
              </w:rPr>
              <w:softHyphen/>
            </w:r>
            <w:r w:rsidRPr="00147089">
              <w:rPr>
                <w:rFonts w:ascii="Times New Roman" w:hAnsi="Times New Roman" w:cs="Times New Roman"/>
                <w:sz w:val="24"/>
                <w:szCs w:val="24"/>
              </w:rPr>
              <w:softHyphen/>
            </w:r>
            <w:r w:rsidRPr="00147089">
              <w:rPr>
                <w:rFonts w:ascii="Times New Roman" w:hAnsi="Times New Roman" w:cs="Times New Roman"/>
                <w:sz w:val="24"/>
                <w:szCs w:val="24"/>
              </w:rPr>
              <w:softHyphen/>
              <w:t>_____________________</w:t>
            </w:r>
          </w:p>
          <w:p w:rsidR="00147089" w:rsidRPr="00147089" w:rsidRDefault="00147089" w:rsidP="006C0D45">
            <w:pPr>
              <w:tabs>
                <w:tab w:val="left" w:pos="1134"/>
                <w:tab w:val="left" w:pos="9356"/>
              </w:tabs>
              <w:ind w:right="-1"/>
              <w:jc w:val="center"/>
              <w:rPr>
                <w:rFonts w:ascii="Times New Roman" w:hAnsi="Times New Roman" w:cs="Times New Roman"/>
                <w:sz w:val="24"/>
                <w:szCs w:val="24"/>
              </w:rPr>
            </w:pPr>
            <w:r w:rsidRPr="00147089">
              <w:rPr>
                <w:rFonts w:ascii="Times New Roman" w:hAnsi="Times New Roman" w:cs="Times New Roman"/>
                <w:sz w:val="24"/>
                <w:szCs w:val="24"/>
              </w:rPr>
              <w:t>(подпись)</w:t>
            </w:r>
          </w:p>
        </w:tc>
        <w:tc>
          <w:tcPr>
            <w:tcW w:w="2553" w:type="dxa"/>
          </w:tcPr>
          <w:p w:rsidR="00147089" w:rsidRPr="00147089" w:rsidRDefault="00147089" w:rsidP="006C0D45">
            <w:pPr>
              <w:tabs>
                <w:tab w:val="left" w:pos="1134"/>
                <w:tab w:val="left" w:pos="9356"/>
              </w:tabs>
              <w:ind w:right="-1"/>
              <w:jc w:val="center"/>
              <w:rPr>
                <w:rFonts w:ascii="Times New Roman" w:hAnsi="Times New Roman" w:cs="Times New Roman"/>
                <w:sz w:val="24"/>
                <w:szCs w:val="24"/>
              </w:rPr>
            </w:pPr>
            <w:r w:rsidRPr="00147089">
              <w:rPr>
                <w:rFonts w:ascii="Times New Roman" w:hAnsi="Times New Roman" w:cs="Times New Roman"/>
                <w:sz w:val="24"/>
                <w:szCs w:val="24"/>
              </w:rPr>
              <w:t>___________________</w:t>
            </w:r>
          </w:p>
          <w:p w:rsidR="00147089" w:rsidRPr="00147089" w:rsidRDefault="00147089" w:rsidP="006C0D45">
            <w:pPr>
              <w:tabs>
                <w:tab w:val="left" w:pos="1134"/>
                <w:tab w:val="left" w:pos="9356"/>
              </w:tabs>
              <w:ind w:right="-1"/>
              <w:jc w:val="center"/>
              <w:rPr>
                <w:rFonts w:ascii="Times New Roman" w:hAnsi="Times New Roman" w:cs="Times New Roman"/>
                <w:sz w:val="24"/>
                <w:szCs w:val="24"/>
              </w:rPr>
            </w:pPr>
            <w:r w:rsidRPr="00147089">
              <w:rPr>
                <w:rFonts w:ascii="Times New Roman" w:hAnsi="Times New Roman" w:cs="Times New Roman"/>
                <w:sz w:val="24"/>
                <w:szCs w:val="24"/>
              </w:rPr>
              <w:t>(дата)</w:t>
            </w:r>
            <w:r w:rsidRPr="00147089">
              <w:rPr>
                <w:rStyle w:val="a9"/>
                <w:rFonts w:ascii="Times New Roman" w:hAnsi="Times New Roman" w:cs="Times New Roman"/>
                <w:sz w:val="24"/>
                <w:szCs w:val="24"/>
              </w:rPr>
              <w:footnoteReference w:id="2"/>
            </w:r>
          </w:p>
        </w:tc>
      </w:tr>
      <w:bookmarkEnd w:id="0"/>
    </w:tbl>
    <w:p w:rsidR="00366D8E" w:rsidRPr="00147089" w:rsidRDefault="00366D8E">
      <w:pPr>
        <w:rPr>
          <w:rFonts w:ascii="Times New Roman" w:hAnsi="Times New Roman" w:cs="Times New Roman"/>
          <w:sz w:val="24"/>
          <w:szCs w:val="24"/>
        </w:rPr>
      </w:pPr>
    </w:p>
    <w:sectPr w:rsidR="00366D8E" w:rsidRPr="0014708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089" w:rsidRDefault="00147089" w:rsidP="00147089">
      <w:pPr>
        <w:spacing w:after="0" w:line="240" w:lineRule="auto"/>
      </w:pPr>
      <w:r>
        <w:separator/>
      </w:r>
    </w:p>
  </w:endnote>
  <w:endnote w:type="continuationSeparator" w:id="0">
    <w:p w:rsidR="00147089" w:rsidRDefault="00147089" w:rsidP="00147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089" w:rsidRDefault="00147089" w:rsidP="00147089">
      <w:pPr>
        <w:spacing w:after="0" w:line="240" w:lineRule="auto"/>
      </w:pPr>
      <w:r>
        <w:separator/>
      </w:r>
    </w:p>
  </w:footnote>
  <w:footnote w:type="continuationSeparator" w:id="0">
    <w:p w:rsidR="00147089" w:rsidRDefault="00147089" w:rsidP="00147089">
      <w:pPr>
        <w:spacing w:after="0" w:line="240" w:lineRule="auto"/>
      </w:pPr>
      <w:r>
        <w:continuationSeparator/>
      </w:r>
    </w:p>
  </w:footnote>
  <w:footnote w:id="1">
    <w:p w:rsidR="00147089" w:rsidRPr="006608A6" w:rsidRDefault="00147089" w:rsidP="00147089">
      <w:pPr>
        <w:tabs>
          <w:tab w:val="left" w:pos="1134"/>
          <w:tab w:val="left" w:pos="9356"/>
        </w:tabs>
        <w:spacing w:after="0" w:line="240" w:lineRule="auto"/>
        <w:ind w:right="-1"/>
        <w:jc w:val="both"/>
        <w:rPr>
          <w:rFonts w:ascii="Times New Roman" w:hAnsi="Times New Roman" w:cs="Times New Roman"/>
          <w:sz w:val="20"/>
          <w:szCs w:val="20"/>
        </w:rPr>
      </w:pPr>
      <w:r>
        <w:rPr>
          <w:rStyle w:val="a9"/>
        </w:rPr>
        <w:footnoteRef/>
      </w:r>
      <w:r>
        <w:t xml:space="preserve"> </w:t>
      </w:r>
      <w:r w:rsidRPr="006608A6">
        <w:rPr>
          <w:rFonts w:ascii="Times New Roman" w:hAnsi="Times New Roman" w:cs="Times New Roman"/>
          <w:sz w:val="20"/>
          <w:szCs w:val="20"/>
        </w:rPr>
        <w:t xml:space="preserve">Для пересчета </w:t>
      </w:r>
      <w:r>
        <w:rPr>
          <w:rFonts w:ascii="Times New Roman" w:hAnsi="Times New Roman" w:cs="Times New Roman"/>
          <w:sz w:val="20"/>
          <w:szCs w:val="20"/>
        </w:rPr>
        <w:t xml:space="preserve">в штуки </w:t>
      </w:r>
      <w:r w:rsidRPr="006608A6">
        <w:rPr>
          <w:rFonts w:ascii="Times New Roman" w:hAnsi="Times New Roman" w:cs="Times New Roman"/>
          <w:sz w:val="20"/>
          <w:szCs w:val="20"/>
        </w:rPr>
        <w:t xml:space="preserve">количества Еврооблигаций, выраженного в </w:t>
      </w:r>
      <w:r>
        <w:rPr>
          <w:rFonts w:ascii="Times New Roman" w:hAnsi="Times New Roman" w:cs="Times New Roman"/>
          <w:sz w:val="20"/>
          <w:szCs w:val="20"/>
        </w:rPr>
        <w:t xml:space="preserve">валюте по </w:t>
      </w:r>
      <w:r w:rsidRPr="006608A6">
        <w:rPr>
          <w:rFonts w:ascii="Times New Roman" w:hAnsi="Times New Roman" w:cs="Times New Roman"/>
          <w:sz w:val="20"/>
          <w:szCs w:val="20"/>
        </w:rPr>
        <w:t>номинальной стоимости</w:t>
      </w:r>
      <w:r>
        <w:rPr>
          <w:rFonts w:ascii="Times New Roman" w:hAnsi="Times New Roman" w:cs="Times New Roman"/>
          <w:sz w:val="20"/>
          <w:szCs w:val="20"/>
        </w:rPr>
        <w:t xml:space="preserve">, </w:t>
      </w:r>
      <w:r w:rsidRPr="006608A6">
        <w:rPr>
          <w:rFonts w:ascii="Times New Roman" w:hAnsi="Times New Roman" w:cs="Times New Roman"/>
          <w:sz w:val="20"/>
          <w:szCs w:val="20"/>
        </w:rPr>
        <w:t xml:space="preserve">можно </w:t>
      </w:r>
      <w:r>
        <w:rPr>
          <w:rFonts w:ascii="Times New Roman" w:hAnsi="Times New Roman" w:cs="Times New Roman"/>
          <w:sz w:val="20"/>
          <w:szCs w:val="20"/>
        </w:rPr>
        <w:t>разделить такое количество на номинальную стоимость одной Еврооблигации</w:t>
      </w:r>
      <w:r w:rsidRPr="006608A6">
        <w:rPr>
          <w:rFonts w:ascii="Times New Roman" w:hAnsi="Times New Roman" w:cs="Times New Roman"/>
          <w:sz w:val="20"/>
          <w:szCs w:val="20"/>
        </w:rPr>
        <w:t>.</w:t>
      </w:r>
    </w:p>
    <w:p w:rsidR="00147089" w:rsidRPr="00A06E55" w:rsidRDefault="00147089" w:rsidP="00147089">
      <w:pPr>
        <w:tabs>
          <w:tab w:val="left" w:pos="1134"/>
          <w:tab w:val="left" w:pos="9356"/>
        </w:tabs>
        <w:spacing w:after="0" w:line="240" w:lineRule="auto"/>
        <w:ind w:right="-1"/>
        <w:jc w:val="both"/>
        <w:rPr>
          <w:rFonts w:ascii="Times New Roman" w:hAnsi="Times New Roman" w:cs="Times New Roman"/>
          <w:sz w:val="24"/>
          <w:szCs w:val="24"/>
        </w:rPr>
      </w:pPr>
    </w:p>
    <w:p w:rsidR="00147089" w:rsidRDefault="00147089" w:rsidP="00147089">
      <w:pPr>
        <w:pStyle w:val="a5"/>
      </w:pPr>
    </w:p>
  </w:footnote>
  <w:footnote w:id="2">
    <w:p w:rsidR="00147089" w:rsidRPr="002278C4" w:rsidRDefault="00147089" w:rsidP="00147089">
      <w:pPr>
        <w:pStyle w:val="a5"/>
        <w:rPr>
          <w:rFonts w:ascii="Times New Roman" w:hAnsi="Times New Roman"/>
        </w:rPr>
      </w:pPr>
      <w:r w:rsidRPr="002278C4">
        <w:rPr>
          <w:rStyle w:val="a9"/>
          <w:rFonts w:ascii="Times New Roman" w:hAnsi="Times New Roman"/>
        </w:rPr>
        <w:footnoteRef/>
      </w:r>
      <w:r w:rsidRPr="002278C4">
        <w:rPr>
          <w:rFonts w:ascii="Times New Roman" w:hAnsi="Times New Roman"/>
        </w:rPr>
        <w:t xml:space="preserve"> Указывается в случае предоставления Заявления о перечислении денежных средств по Еврооблигациям на бумажном носителе и исключается в случае его направления через СЭД НРД</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7237"/>
    <w:multiLevelType w:val="hybridMultilevel"/>
    <w:tmpl w:val="806C3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155026E"/>
    <w:multiLevelType w:val="hybridMultilevel"/>
    <w:tmpl w:val="BDD8B2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5FF"/>
    <w:rsid w:val="00147089"/>
    <w:rsid w:val="00366D8E"/>
    <w:rsid w:val="00AA2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31735"/>
  <w15:chartTrackingRefBased/>
  <w15:docId w15:val="{9464A3D4-B0DF-4ADA-B4F5-E1799335A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47089"/>
    <w:pPr>
      <w:spacing w:after="200" w:line="276" w:lineRule="auto"/>
    </w:pPr>
  </w:style>
  <w:style w:type="paragraph" w:styleId="1">
    <w:name w:val="heading 1"/>
    <w:basedOn w:val="a0"/>
    <w:next w:val="a0"/>
    <w:link w:val="10"/>
    <w:uiPriority w:val="9"/>
    <w:qFormat/>
    <w:rsid w:val="0014708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1470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147089"/>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147089"/>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147089"/>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147089"/>
    <w:rPr>
      <w:rFonts w:eastAsiaTheme="minorEastAsia"/>
      <w:sz w:val="20"/>
      <w:szCs w:val="20"/>
    </w:rPr>
  </w:style>
  <w:style w:type="paragraph" w:customStyle="1" w:styleId="a">
    <w:name w:val="СтильСнежиной"/>
    <w:basedOn w:val="1"/>
    <w:qFormat/>
    <w:rsid w:val="00147089"/>
    <w:pPr>
      <w:numPr>
        <w:numId w:val="1"/>
      </w:numPr>
      <w:spacing w:before="0" w:after="120" w:line="240" w:lineRule="auto"/>
      <w:jc w:val="both"/>
    </w:pPr>
    <w:rPr>
      <w:rFonts w:ascii="Times New Roman" w:hAnsi="Times New Roman"/>
      <w:b/>
      <w:color w:val="auto"/>
      <w:sz w:val="24"/>
    </w:rPr>
  </w:style>
  <w:style w:type="paragraph" w:customStyle="1" w:styleId="Default">
    <w:name w:val="Default"/>
    <w:rsid w:val="00147089"/>
    <w:pPr>
      <w:autoSpaceDE w:val="0"/>
      <w:autoSpaceDN w:val="0"/>
      <w:adjustRightInd w:val="0"/>
      <w:spacing w:after="0" w:line="240" w:lineRule="auto"/>
    </w:pPr>
    <w:rPr>
      <w:rFonts w:ascii="Tahoma" w:hAnsi="Tahoma" w:cs="Tahoma"/>
      <w:color w:val="000000"/>
      <w:sz w:val="24"/>
      <w:szCs w:val="24"/>
      <w:lang w:eastAsia="ru-RU"/>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147089"/>
    <w:rPr>
      <w:vertAlign w:val="superscript"/>
    </w:rPr>
  </w:style>
  <w:style w:type="paragraph" w:styleId="aa">
    <w:name w:val="No Spacing"/>
    <w:uiPriority w:val="1"/>
    <w:qFormat/>
    <w:rsid w:val="00147089"/>
    <w:pPr>
      <w:spacing w:after="0" w:line="240" w:lineRule="auto"/>
    </w:pPr>
  </w:style>
  <w:style w:type="character" w:customStyle="1" w:styleId="10">
    <w:name w:val="Заголовок 1 Знак"/>
    <w:basedOn w:val="a1"/>
    <w:link w:val="1"/>
    <w:uiPriority w:val="9"/>
    <w:rsid w:val="0014708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Мнацаканян Алина Васильевна</dc:creator>
  <cp:keywords/>
  <dc:description/>
  <cp:lastModifiedBy>Мнацаканян Алина Васильевна</cp:lastModifiedBy>
  <cp:revision>2</cp:revision>
  <dcterms:created xsi:type="dcterms:W3CDTF">2023-10-16T15:09:00Z</dcterms:created>
  <dcterms:modified xsi:type="dcterms:W3CDTF">2023-10-16T15:09:00Z</dcterms:modified>
</cp:coreProperties>
</file>