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25" w:rsidRPr="00BE66AE" w:rsidRDefault="00534625" w:rsidP="00534625">
      <w:pPr>
        <w:pStyle w:val="1"/>
        <w:jc w:val="right"/>
        <w:rPr>
          <w:b/>
        </w:rPr>
      </w:pPr>
      <w:r w:rsidRPr="00BE66AE">
        <w:t>Приложение 4</w:t>
      </w:r>
    </w:p>
    <w:p w:rsidR="00534625" w:rsidRPr="00BE66AE" w:rsidRDefault="00534625" w:rsidP="00534625">
      <w:pPr>
        <w:spacing w:after="0" w:line="240" w:lineRule="auto"/>
        <w:jc w:val="center"/>
        <w:rPr>
          <w:rFonts w:ascii="Times New Roman" w:hAnsi="Times New Roman" w:cs="Times New Roman"/>
          <w:b/>
          <w:sz w:val="24"/>
          <w:szCs w:val="24"/>
        </w:rPr>
      </w:pPr>
    </w:p>
    <w:p w:rsidR="00534625" w:rsidRPr="00BE66AE" w:rsidRDefault="00534625" w:rsidP="00534625">
      <w:pPr>
        <w:contextualSpacing/>
        <w:jc w:val="center"/>
        <w:rPr>
          <w:rFonts w:eastAsia="Times New Roman" w:cs="Times New Roman"/>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534625" w:rsidRPr="00BE66AE" w:rsidRDefault="00534625" w:rsidP="00534625">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в дополнение к Списку Иностранного номинального держателя</w:t>
      </w:r>
      <w:r w:rsidRPr="00BE66AE">
        <w:rPr>
          <w:rFonts w:ascii="Times New Roman" w:hAnsi="Times New Roman" w:cs="Times New Roman"/>
          <w:sz w:val="24"/>
          <w:szCs w:val="24"/>
        </w:rPr>
        <w:t>:</w:t>
      </w:r>
    </w:p>
    <w:tbl>
      <w:tblPr>
        <w:tblStyle w:val="a3"/>
        <w:tblW w:w="9568" w:type="dxa"/>
        <w:tblInd w:w="108" w:type="dxa"/>
        <w:tblLook w:val="04A0" w:firstRow="1" w:lastRow="0" w:firstColumn="1" w:lastColumn="0" w:noHBand="0" w:noVBand="1"/>
      </w:tblPr>
      <w:tblGrid>
        <w:gridCol w:w="1021"/>
        <w:gridCol w:w="3857"/>
        <w:gridCol w:w="4684"/>
        <w:gridCol w:w="6"/>
      </w:tblGrid>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выплаты по ценным бумагам</w:t>
            </w:r>
          </w:p>
        </w:tc>
        <w:tc>
          <w:tcPr>
            <w:tcW w:w="4684" w:type="dxa"/>
          </w:tcPr>
          <w:p w:rsidR="00534625" w:rsidRPr="00BE66AE" w:rsidRDefault="00534625" w:rsidP="00534625">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 xml:space="preserve">Дивиденды </w:t>
            </w:r>
          </w:p>
          <w:p w:rsidR="00534625" w:rsidRPr="00BE66AE" w:rsidRDefault="00534625" w:rsidP="00534625">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Купонный (процентный) доход</w:t>
            </w:r>
          </w:p>
          <w:p w:rsidR="00534625" w:rsidRPr="00BE66AE" w:rsidRDefault="00534625" w:rsidP="00534625">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Номинальная стоимость</w:t>
            </w:r>
          </w:p>
          <w:p w:rsidR="00534625" w:rsidRPr="00BE66AE" w:rsidRDefault="00534625" w:rsidP="00534625">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Частичная номинальная стоимость</w:t>
            </w: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Количество ценных бумаг на Дату фиксации (цифрами и прописью)</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1"/>
            </w:r>
          </w:p>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BE66AE">
              <w:rPr>
                <w:rFonts w:ascii="Times New Roman" w:hAnsi="Times New Roman" w:cs="Times New Roman"/>
                <w:b/>
                <w:sz w:val="24"/>
                <w:szCs w:val="24"/>
              </w:rPr>
              <w:t xml:space="preserve">о направлении сведений (документов) к Списку </w:t>
            </w:r>
            <w:r w:rsidRPr="00BE66AE">
              <w:rPr>
                <w:rFonts w:ascii="Times New Roman" w:hAnsi="Times New Roman" w:cs="Times New Roman"/>
                <w:b/>
                <w:sz w:val="24"/>
                <w:szCs w:val="24"/>
              </w:rPr>
              <w:lastRenderedPageBreak/>
              <w:t>Иностранного номинального держателя</w:t>
            </w:r>
            <w:r w:rsidRPr="00BE66AE">
              <w:rPr>
                <w:rFonts w:ascii="Times New Roman" w:eastAsia="Calibri" w:hAnsi="Times New Roman" w:cs="Times New Roman"/>
                <w:sz w:val="24"/>
                <w:szCs w:val="24"/>
              </w:rPr>
              <w:t xml:space="preserve"> (если применимо)  </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c>
          <w:tcPr>
            <w:tcW w:w="9568" w:type="dxa"/>
            <w:gridSpan w:val="4"/>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наименование/ФИО Держателя</w:t>
            </w:r>
          </w:p>
        </w:tc>
        <w:tc>
          <w:tcPr>
            <w:tcW w:w="4684" w:type="dxa"/>
          </w:tcPr>
          <w:p w:rsidR="00534625" w:rsidRPr="00BE66AE" w:rsidRDefault="00534625" w:rsidP="00CB432F">
            <w:pPr>
              <w:pStyle w:val="a6"/>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w:t>
            </w:r>
            <w:proofErr w:type="spellStart"/>
            <w:r w:rsidRPr="00BE66AE">
              <w:rPr>
                <w:rFonts w:ascii="Times New Roman" w:hAnsi="Times New Roman" w:cs="Times New Roman"/>
                <w:sz w:val="24"/>
                <w:szCs w:val="24"/>
              </w:rPr>
              <w:t>mail</w:t>
            </w:r>
            <w:proofErr w:type="spellEnd"/>
            <w:r w:rsidRPr="00BE66AE">
              <w:rPr>
                <w:rFonts w:ascii="Times New Roman" w:hAnsi="Times New Roman" w:cs="Times New Roman"/>
                <w:sz w:val="24"/>
                <w:szCs w:val="24"/>
              </w:rPr>
              <w:t>)</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534625" w:rsidRPr="00BE66AE" w:rsidRDefault="00534625" w:rsidP="00CB432F">
            <w:pPr>
              <w:tabs>
                <w:tab w:val="left" w:pos="1134"/>
                <w:tab w:val="left" w:pos="9356"/>
              </w:tabs>
              <w:ind w:right="-1"/>
              <w:jc w:val="both"/>
              <w:rPr>
                <w:rFonts w:ascii="Times New Roman" w:hAnsi="Times New Roman" w:cs="Times New Roman"/>
                <w:b/>
                <w:i/>
                <w:sz w:val="24"/>
                <w:szCs w:val="24"/>
              </w:rPr>
            </w:pPr>
            <w:r w:rsidRPr="00BE66AE">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p>
        </w:tc>
        <w:tc>
          <w:tcPr>
            <w:tcW w:w="4684" w:type="dxa"/>
          </w:tcPr>
          <w:p w:rsidR="00534625" w:rsidRPr="00BE66AE" w:rsidRDefault="00534625" w:rsidP="00CB432F">
            <w:pPr>
              <w:pStyle w:val="a6"/>
              <w:spacing w:before="0" w:after="120"/>
              <w:ind w:left="851"/>
              <w:contextualSpacing w:val="0"/>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684"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r>
      <w:tr w:rsidR="00534625" w:rsidRPr="00BE66AE" w:rsidTr="00CB432F">
        <w:tc>
          <w:tcPr>
            <w:tcW w:w="9568" w:type="dxa"/>
            <w:gridSpan w:val="4"/>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684" w:type="dxa"/>
          </w:tcPr>
          <w:p w:rsidR="00534625" w:rsidRPr="00BE66AE" w:rsidRDefault="00534625" w:rsidP="00534625">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534625" w:rsidRPr="00BE66AE" w:rsidRDefault="00534625" w:rsidP="00534625">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p>
        </w:tc>
      </w:tr>
      <w:tr w:rsidR="00534625" w:rsidRPr="00BE66AE" w:rsidTr="00CB432F">
        <w:tc>
          <w:tcPr>
            <w:tcW w:w="9568" w:type="dxa"/>
            <w:gridSpan w:val="4"/>
          </w:tcPr>
          <w:p w:rsidR="00534625" w:rsidRPr="00BE66AE" w:rsidRDefault="00534625" w:rsidP="00CB432F">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BE66AE">
              <w:rPr>
                <w:rStyle w:val="a8"/>
                <w:rFonts w:ascii="Times New Roman" w:hAnsi="Times New Roman" w:cs="Times New Roman"/>
                <w:b/>
                <w:sz w:val="24"/>
                <w:szCs w:val="24"/>
              </w:rPr>
              <w:footnoteReference w:id="2"/>
            </w: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18.1. Наименование российского Банка Получателя           </w:t>
            </w:r>
          </w:p>
          <w:p w:rsidR="00534625" w:rsidRPr="00BE66AE" w:rsidRDefault="0053462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rsidR="00534625" w:rsidRPr="00BE66AE" w:rsidRDefault="00534625" w:rsidP="00CB432F">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18.3. Город российского Банка Получателя</w:t>
            </w:r>
          </w:p>
          <w:p w:rsidR="00534625" w:rsidRPr="00BE66AE" w:rsidRDefault="0053462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rsidR="00534625" w:rsidRPr="00BE66AE" w:rsidRDefault="0053462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p>
          <w:p w:rsidR="00534625" w:rsidRPr="00BE66AE" w:rsidRDefault="0053462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нулями </w:t>
            </w:r>
          </w:p>
          <w:p w:rsidR="00534625" w:rsidRPr="00BE66AE" w:rsidRDefault="0053462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18.6. Наименование Получателя</w:t>
            </w:r>
            <w:r w:rsidRPr="00BE66AE">
              <w:rPr>
                <w:rFonts w:ascii="Times New Roman" w:hAnsi="Times New Roman" w:cs="Times New Roman"/>
                <w:sz w:val="24"/>
                <w:szCs w:val="24"/>
              </w:rPr>
              <w:t xml:space="preserve"> (в соответствии с Уставом)*                                            </w:t>
            </w:r>
          </w:p>
          <w:p w:rsidR="00534625" w:rsidRPr="00BE66AE" w:rsidRDefault="0053462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w:t>
            </w:r>
            <w:r w:rsidRPr="00BE66AE">
              <w:rPr>
                <w:rFonts w:ascii="Times New Roman" w:hAnsi="Times New Roman" w:cs="Times New Roman"/>
                <w:i/>
                <w:sz w:val="24"/>
                <w:szCs w:val="24"/>
              </w:rPr>
              <w:lastRenderedPageBreak/>
              <w:t xml:space="preserve">банке, то указывается наименование иностранного банка </w:t>
            </w:r>
          </w:p>
          <w:p w:rsidR="00534625" w:rsidRPr="00BE66AE" w:rsidRDefault="0053462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18.7. Счет получателя</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rPr>
              <w:t>/с или р/с Получателя)*</w:t>
            </w:r>
          </w:p>
          <w:p w:rsidR="00534625" w:rsidRPr="00BE66AE" w:rsidRDefault="00534625" w:rsidP="00CB432F">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c>
          <w:tcPr>
            <w:tcW w:w="4684" w:type="dxa"/>
          </w:tcPr>
          <w:p w:rsidR="00534625" w:rsidRPr="00BE66AE" w:rsidRDefault="00534625" w:rsidP="00CB432F">
            <w:pPr>
              <w:pStyle w:val="a6"/>
              <w:tabs>
                <w:tab w:val="left" w:pos="67"/>
                <w:tab w:val="left" w:pos="1134"/>
                <w:tab w:val="left" w:pos="9356"/>
              </w:tabs>
              <w:spacing w:before="0"/>
              <w:ind w:left="454" w:right="-1"/>
              <w:jc w:val="both"/>
              <w:rPr>
                <w:rFonts w:ascii="Times New Roman" w:hAnsi="Times New Roman" w:cs="Times New Roman"/>
                <w:sz w:val="24"/>
                <w:szCs w:val="24"/>
              </w:rPr>
            </w:pPr>
          </w:p>
        </w:tc>
      </w:tr>
      <w:tr w:rsidR="00534625" w:rsidRPr="00BE66AE" w:rsidTr="00CB432F">
        <w:tc>
          <w:tcPr>
            <w:tcW w:w="9568" w:type="dxa"/>
            <w:gridSpan w:val="4"/>
          </w:tcPr>
          <w:p w:rsidR="00534625" w:rsidRPr="00BE66AE" w:rsidRDefault="00534625" w:rsidP="00CB432F">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534625" w:rsidRPr="00BE66AE" w:rsidTr="00CB432F">
        <w:trPr>
          <w:gridAfter w:val="1"/>
          <w:wAfter w:w="6" w:type="dxa"/>
        </w:trPr>
        <w:tc>
          <w:tcPr>
            <w:tcW w:w="1021" w:type="dxa"/>
            <w:vMerge w:val="restart"/>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rsidR="00534625" w:rsidRPr="00BE66AE" w:rsidRDefault="00534625" w:rsidP="00CB432F">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c>
          <w:tcPr>
            <w:tcW w:w="4684" w:type="dxa"/>
          </w:tcPr>
          <w:p w:rsidR="00534625" w:rsidRPr="00BE66AE" w:rsidRDefault="00534625" w:rsidP="0053462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534625" w:rsidRPr="00BE66AE" w:rsidRDefault="00534625" w:rsidP="00CB432F">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534625" w:rsidRPr="00BE66AE" w:rsidTr="00CB432F">
        <w:trPr>
          <w:gridAfter w:val="1"/>
          <w:wAfter w:w="6" w:type="dxa"/>
        </w:trPr>
        <w:tc>
          <w:tcPr>
            <w:tcW w:w="1021" w:type="dxa"/>
            <w:vMerge/>
          </w:tcPr>
          <w:p w:rsidR="00534625" w:rsidRPr="00BE66AE" w:rsidRDefault="00534625" w:rsidP="00CB432F">
            <w:pPr>
              <w:tabs>
                <w:tab w:val="left" w:pos="1134"/>
                <w:tab w:val="left" w:pos="9356"/>
              </w:tabs>
              <w:ind w:right="-1"/>
              <w:rPr>
                <w:rFonts w:ascii="Times New Roman" w:hAnsi="Times New Roman" w:cs="Times New Roman"/>
                <w:sz w:val="24"/>
                <w:szCs w:val="24"/>
              </w:rPr>
            </w:pPr>
          </w:p>
        </w:tc>
        <w:tc>
          <w:tcPr>
            <w:tcW w:w="3857" w:type="dxa"/>
            <w:vMerge/>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c>
          <w:tcPr>
            <w:tcW w:w="4684" w:type="dxa"/>
          </w:tcPr>
          <w:p w:rsidR="00534625" w:rsidRPr="00BE66AE" w:rsidRDefault="00534625" w:rsidP="0053462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__________________________________________</w:t>
            </w:r>
          </w:p>
          <w:p w:rsidR="00534625" w:rsidRPr="00BE66AE" w:rsidRDefault="00534625"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rsidR="00534625" w:rsidRPr="00BE66AE" w:rsidRDefault="00534625" w:rsidP="00CB432F">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534625" w:rsidRPr="00BE66AE" w:rsidTr="00CB432F">
        <w:trPr>
          <w:gridAfter w:val="1"/>
          <w:wAfter w:w="6" w:type="dxa"/>
        </w:trPr>
        <w:tc>
          <w:tcPr>
            <w:tcW w:w="1021" w:type="dxa"/>
            <w:vMerge/>
          </w:tcPr>
          <w:p w:rsidR="00534625" w:rsidRPr="00BE66AE" w:rsidRDefault="00534625" w:rsidP="00CB432F">
            <w:pPr>
              <w:pStyle w:val="a6"/>
              <w:tabs>
                <w:tab w:val="left" w:pos="1134"/>
                <w:tab w:val="left" w:pos="9356"/>
              </w:tabs>
              <w:ind w:right="-1"/>
              <w:rPr>
                <w:rFonts w:ascii="Times New Roman" w:hAnsi="Times New Roman" w:cs="Times New Roman"/>
                <w:sz w:val="24"/>
                <w:szCs w:val="24"/>
              </w:rPr>
            </w:pPr>
          </w:p>
        </w:tc>
        <w:tc>
          <w:tcPr>
            <w:tcW w:w="3857" w:type="dxa"/>
            <w:vMerge/>
          </w:tcPr>
          <w:p w:rsidR="00534625" w:rsidRPr="00BE66AE" w:rsidRDefault="00534625" w:rsidP="00CB432F">
            <w:pPr>
              <w:tabs>
                <w:tab w:val="left" w:pos="1134"/>
                <w:tab w:val="left" w:pos="9356"/>
              </w:tabs>
              <w:ind w:right="-1"/>
              <w:jc w:val="both"/>
              <w:rPr>
                <w:rFonts w:ascii="Times New Roman" w:hAnsi="Times New Roman" w:cs="Times New Roman"/>
                <w:sz w:val="24"/>
                <w:szCs w:val="24"/>
              </w:rPr>
            </w:pPr>
          </w:p>
        </w:tc>
        <w:tc>
          <w:tcPr>
            <w:tcW w:w="4684" w:type="dxa"/>
          </w:tcPr>
          <w:p w:rsidR="00534625" w:rsidRPr="00BE66AE" w:rsidRDefault="00534625" w:rsidP="0053462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534625" w:rsidRPr="00BE66AE" w:rsidRDefault="00534625" w:rsidP="00CB432F">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534625" w:rsidRPr="00BE66AE" w:rsidRDefault="00534625" w:rsidP="00CB432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rsidR="00534625" w:rsidRPr="00BE66AE" w:rsidRDefault="00534625" w:rsidP="00CB432F">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684" w:type="dxa"/>
          </w:tcPr>
          <w:p w:rsidR="00534625" w:rsidRPr="00BE66AE" w:rsidRDefault="00534625" w:rsidP="00CB432F">
            <w:pPr>
              <w:tabs>
                <w:tab w:val="left" w:pos="67"/>
                <w:tab w:val="left" w:pos="607"/>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rsidR="00534625" w:rsidRPr="00BE66AE" w:rsidRDefault="00534625" w:rsidP="00CB432F">
            <w:pPr>
              <w:tabs>
                <w:tab w:val="left" w:pos="67"/>
                <w:tab w:val="left" w:pos="607"/>
                <w:tab w:val="left" w:pos="1134"/>
                <w:tab w:val="left" w:pos="9356"/>
              </w:tabs>
              <w:ind w:right="-1"/>
              <w:jc w:val="both"/>
              <w:rPr>
                <w:rFonts w:ascii="Times New Roman" w:hAnsi="Times New Roman" w:cs="Times New Roman"/>
                <w:sz w:val="24"/>
                <w:szCs w:val="24"/>
              </w:rPr>
            </w:pPr>
          </w:p>
        </w:tc>
      </w:tr>
      <w:tr w:rsidR="00534625" w:rsidRPr="00BE66AE" w:rsidTr="00CB432F">
        <w:trPr>
          <w:gridAfter w:val="1"/>
          <w:wAfter w:w="6" w:type="dxa"/>
        </w:trPr>
        <w:tc>
          <w:tcPr>
            <w:tcW w:w="1021" w:type="dxa"/>
          </w:tcPr>
          <w:p w:rsidR="00534625" w:rsidRPr="00BE66AE" w:rsidRDefault="00534625" w:rsidP="00534625">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534625" w:rsidRPr="00BE66AE" w:rsidRDefault="00534625" w:rsidP="00CB432F">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rsidR="00534625" w:rsidRPr="00BE66AE" w:rsidRDefault="00534625" w:rsidP="00CB432F">
            <w:pPr>
              <w:tabs>
                <w:tab w:val="left" w:pos="67"/>
                <w:tab w:val="left" w:pos="607"/>
                <w:tab w:val="left" w:pos="1134"/>
                <w:tab w:val="left" w:pos="9356"/>
              </w:tabs>
              <w:ind w:right="-1"/>
              <w:jc w:val="both"/>
              <w:rPr>
                <w:rFonts w:ascii="Times New Roman" w:hAnsi="Times New Roman" w:cs="Times New Roman"/>
                <w:sz w:val="24"/>
                <w:szCs w:val="24"/>
              </w:rPr>
            </w:pPr>
          </w:p>
        </w:tc>
      </w:tr>
    </w:tbl>
    <w:p w:rsidR="00534625" w:rsidRPr="00BE66AE" w:rsidRDefault="00534625" w:rsidP="00534625">
      <w:pPr>
        <w:tabs>
          <w:tab w:val="left" w:pos="1134"/>
          <w:tab w:val="left" w:pos="9356"/>
        </w:tabs>
        <w:ind w:right="-1"/>
        <w:jc w:val="both"/>
        <w:rPr>
          <w:rFonts w:ascii="Times New Roman" w:hAnsi="Times New Roman" w:cs="Times New Roman"/>
          <w:sz w:val="24"/>
          <w:szCs w:val="24"/>
        </w:rPr>
      </w:pPr>
    </w:p>
    <w:p w:rsidR="00534625" w:rsidRPr="00BE66AE" w:rsidRDefault="00534625" w:rsidP="00534625">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lastRenderedPageBreak/>
        <w:t>Перечень прилагаемых документов:</w:t>
      </w:r>
    </w:p>
    <w:p w:rsidR="00534625" w:rsidRPr="00BE66AE" w:rsidRDefault="00534625" w:rsidP="00534625">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534625" w:rsidRPr="00BE66AE" w:rsidRDefault="00534625" w:rsidP="00534625">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534625" w:rsidRPr="00BE66AE" w:rsidRDefault="00534625" w:rsidP="00534625">
      <w:pPr>
        <w:tabs>
          <w:tab w:val="left" w:pos="1134"/>
          <w:tab w:val="left" w:pos="9356"/>
        </w:tabs>
        <w:ind w:right="-1"/>
        <w:jc w:val="both"/>
        <w:rPr>
          <w:rFonts w:ascii="Times New Roman"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34625" w:rsidRPr="00BE66AE" w:rsidTr="00CB432F">
        <w:tc>
          <w:tcPr>
            <w:tcW w:w="3546" w:type="dxa"/>
          </w:tcPr>
          <w:p w:rsidR="00534625" w:rsidRPr="00BE66AE" w:rsidRDefault="00534625" w:rsidP="00CB432F">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rsidR="00534625" w:rsidRPr="00BE66AE" w:rsidRDefault="00534625" w:rsidP="00CB432F">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w:t>
            </w:r>
          </w:p>
        </w:tc>
        <w:tc>
          <w:tcPr>
            <w:tcW w:w="2831" w:type="dxa"/>
          </w:tcPr>
          <w:p w:rsidR="00534625" w:rsidRPr="00BE66AE" w:rsidRDefault="0053462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534625" w:rsidRPr="00BE66AE" w:rsidRDefault="0053462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rsidR="00534625" w:rsidRPr="00BE66AE" w:rsidRDefault="0053462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534625" w:rsidRPr="00BE66AE" w:rsidRDefault="00534625" w:rsidP="00CB432F">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p>
        </w:tc>
      </w:tr>
    </w:tbl>
    <w:p w:rsidR="00534625" w:rsidRPr="00BE66AE" w:rsidRDefault="00534625" w:rsidP="00534625">
      <w:pPr>
        <w:tabs>
          <w:tab w:val="left" w:pos="1134"/>
          <w:tab w:val="left" w:pos="9356"/>
        </w:tabs>
        <w:ind w:right="-1"/>
        <w:jc w:val="both"/>
        <w:rPr>
          <w:rFonts w:ascii="Times New Roman" w:hAnsi="Times New Roman" w:cs="Times New Roman"/>
          <w:sz w:val="24"/>
          <w:szCs w:val="24"/>
          <w:lang w:val="en-US"/>
        </w:rPr>
      </w:pPr>
    </w:p>
    <w:p w:rsidR="00534625" w:rsidRPr="00BE66AE" w:rsidRDefault="00534625" w:rsidP="00534625">
      <w:pPr>
        <w:tabs>
          <w:tab w:val="left" w:pos="1134"/>
          <w:tab w:val="left" w:pos="9356"/>
        </w:tabs>
        <w:ind w:right="-1"/>
        <w:jc w:val="both"/>
        <w:rPr>
          <w:rFonts w:ascii="Times New Roman" w:hAnsi="Times New Roman" w:cs="Times New Roman"/>
          <w:sz w:val="24"/>
          <w:szCs w:val="24"/>
          <w:lang w:val="en-US"/>
        </w:rPr>
      </w:pPr>
    </w:p>
    <w:p w:rsidR="00AB36A6" w:rsidRDefault="00AB36A6" w:rsidP="00534625">
      <w:bookmarkStart w:id="0" w:name="_GoBack"/>
      <w:bookmarkEnd w:id="0"/>
    </w:p>
    <w:sectPr w:rsidR="00AB3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25" w:rsidRDefault="00534625" w:rsidP="00534625">
      <w:pPr>
        <w:spacing w:after="0" w:line="240" w:lineRule="auto"/>
      </w:pPr>
      <w:r>
        <w:separator/>
      </w:r>
    </w:p>
  </w:endnote>
  <w:endnote w:type="continuationSeparator" w:id="0">
    <w:p w:rsidR="00534625" w:rsidRDefault="00534625" w:rsidP="0053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25" w:rsidRDefault="00534625" w:rsidP="00534625">
      <w:pPr>
        <w:spacing w:after="0" w:line="240" w:lineRule="auto"/>
      </w:pPr>
      <w:r>
        <w:separator/>
      </w:r>
    </w:p>
  </w:footnote>
  <w:footnote w:type="continuationSeparator" w:id="0">
    <w:p w:rsidR="00534625" w:rsidRDefault="00534625" w:rsidP="00534625">
      <w:pPr>
        <w:spacing w:after="0" w:line="240" w:lineRule="auto"/>
      </w:pPr>
      <w:r>
        <w:continuationSeparator/>
      </w:r>
    </w:p>
  </w:footnote>
  <w:footnote w:id="1">
    <w:p w:rsidR="00534625" w:rsidRPr="006608A6" w:rsidRDefault="00534625" w:rsidP="00534625">
      <w:pPr>
        <w:tabs>
          <w:tab w:val="left" w:pos="1134"/>
          <w:tab w:val="left" w:pos="9356"/>
        </w:tabs>
        <w:spacing w:after="0" w:line="240" w:lineRule="auto"/>
        <w:ind w:right="-1"/>
        <w:jc w:val="both"/>
        <w:rPr>
          <w:rFonts w:ascii="Times New Roman" w:hAnsi="Times New Roman" w:cs="Times New Roman"/>
          <w:sz w:val="20"/>
          <w:szCs w:val="20"/>
        </w:rPr>
      </w:pPr>
      <w:r>
        <w:rPr>
          <w:rStyle w:val="a8"/>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rsidR="00534625" w:rsidRDefault="00534625" w:rsidP="00534625">
      <w:pPr>
        <w:pStyle w:val="a4"/>
      </w:pPr>
    </w:p>
  </w:footnote>
  <w:footnote w:id="2">
    <w:p w:rsidR="00534625" w:rsidRPr="005E436E" w:rsidRDefault="00534625" w:rsidP="00534625">
      <w:pPr>
        <w:widowControl w:val="0"/>
        <w:spacing w:after="60"/>
        <w:jc w:val="both"/>
        <w:rPr>
          <w:rFonts w:ascii="Times New Roman" w:eastAsiaTheme="minorEastAsia"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p>
    <w:p w:rsidR="00534625" w:rsidRPr="005E436E" w:rsidRDefault="00534625" w:rsidP="00534625">
      <w:pPr>
        <w:pStyle w:val="a4"/>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6A"/>
    <w:rsid w:val="00534625"/>
    <w:rsid w:val="00AB36A6"/>
    <w:rsid w:val="00D5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3203"/>
  <w15:chartTrackingRefBased/>
  <w15:docId w15:val="{A9E5B589-F7B9-4C95-B6ED-7E09B2AC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625"/>
    <w:pPr>
      <w:spacing w:after="200" w:line="276" w:lineRule="auto"/>
    </w:pPr>
  </w:style>
  <w:style w:type="paragraph" w:styleId="1">
    <w:name w:val="heading 1"/>
    <w:basedOn w:val="a"/>
    <w:next w:val="a"/>
    <w:link w:val="10"/>
    <w:uiPriority w:val="9"/>
    <w:qFormat/>
    <w:rsid w:val="00534625"/>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25"/>
    <w:rPr>
      <w:rFonts w:ascii="Times New Roman" w:eastAsiaTheme="majorEastAsia" w:hAnsi="Times New Roman" w:cstheme="majorBidi"/>
      <w:sz w:val="24"/>
      <w:szCs w:val="32"/>
    </w:rPr>
  </w:style>
  <w:style w:type="table" w:styleId="a3">
    <w:name w:val="Table Grid"/>
    <w:basedOn w:val="a1"/>
    <w:uiPriority w:val="39"/>
    <w:rsid w:val="0053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534625"/>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534625"/>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534625"/>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534625"/>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534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2023-10-03T07:39:00Z</dcterms:created>
  <dcterms:modified xsi:type="dcterms:W3CDTF">2023-10-03T07:40:00Z</dcterms:modified>
</cp:coreProperties>
</file>