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95" w:rsidRPr="00BE66AE" w:rsidRDefault="00905D95" w:rsidP="00905D95">
      <w:pPr>
        <w:pStyle w:val="1"/>
        <w:jc w:val="right"/>
      </w:pPr>
      <w:r w:rsidRPr="00BE66AE">
        <w:t>Приложение 6</w:t>
      </w:r>
    </w:p>
    <w:p w:rsidR="00905D95" w:rsidRPr="00F66A16" w:rsidRDefault="00905D95" w:rsidP="00905D95">
      <w:pPr>
        <w:spacing w:after="120"/>
        <w:jc w:val="both"/>
        <w:rPr>
          <w:rFonts w:ascii="Times New Roman" w:hAnsi="Times New Roman" w:cs="Times New Roman"/>
          <w:sz w:val="24"/>
          <w:szCs w:val="24"/>
        </w:rPr>
      </w:pPr>
    </w:p>
    <w:p w:rsidR="00905D95" w:rsidRPr="00F66A16" w:rsidRDefault="00905D95" w:rsidP="00905D95">
      <w:pPr>
        <w:contextualSpacing/>
        <w:jc w:val="center"/>
        <w:rPr>
          <w:rFonts w:ascii="Times New Roman" w:eastAsia="Times New Roman" w:hAnsi="Times New Roman" w:cs="Times New Roman"/>
          <w:b/>
          <w:sz w:val="24"/>
          <w:szCs w:val="24"/>
        </w:rPr>
      </w:pPr>
      <w:r w:rsidRPr="00F66A16">
        <w:rPr>
          <w:rFonts w:ascii="Times New Roman" w:eastAsia="Times New Roman" w:hAnsi="Times New Roman" w:cs="Times New Roman"/>
          <w:b/>
          <w:sz w:val="24"/>
          <w:szCs w:val="24"/>
        </w:rPr>
        <w:t>Заявление о выплате по ценным бумагам</w:t>
      </w:r>
    </w:p>
    <w:p w:rsidR="00905D95" w:rsidRPr="00BE66AE" w:rsidRDefault="00905D95" w:rsidP="00905D95">
      <w:pPr>
        <w:contextualSpacing/>
        <w:rPr>
          <w:rFonts w:eastAsia="Times New Roman" w:cs="Times New Roman"/>
          <w:szCs w:val="24"/>
        </w:rPr>
      </w:pPr>
    </w:p>
    <w:p w:rsidR="00905D95" w:rsidRPr="00BE66AE" w:rsidRDefault="00905D95" w:rsidP="00905D95">
      <w:pPr>
        <w:tabs>
          <w:tab w:val="left" w:pos="1134"/>
          <w:tab w:val="left" w:pos="9214"/>
        </w:tabs>
        <w:ind w:left="851" w:right="-1" w:hanging="851"/>
        <w:jc w:val="both"/>
        <w:rPr>
          <w:rFonts w:ascii="Times New Roman" w:hAnsi="Times New Roman" w:cs="Times New Roman"/>
          <w:sz w:val="24"/>
          <w:szCs w:val="24"/>
        </w:rPr>
      </w:pPr>
      <w:r w:rsidRPr="00BE66AE">
        <w:rPr>
          <w:rFonts w:ascii="Times New Roman" w:hAnsi="Times New Roman" w:cs="Times New Roman"/>
          <w:sz w:val="24"/>
          <w:szCs w:val="24"/>
        </w:rPr>
        <w:t>Прошу НКО АО НРД перечислить выплаты по ценным бумагам: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360"/>
                <w:tab w:val="left" w:pos="1134"/>
                <w:tab w:val="left" w:pos="2160"/>
                <w:tab w:val="left" w:pos="9356"/>
              </w:tabs>
              <w:spacing w:after="0" w:line="240" w:lineRule="auto"/>
              <w:ind w:right="-1"/>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r>
              <w:rPr>
                <w:rStyle w:val="a8"/>
                <w:rFonts w:ascii="Times New Roman" w:hAnsi="Times New Roman" w:cs="Times New Roman"/>
                <w:sz w:val="24"/>
                <w:szCs w:val="24"/>
              </w:rPr>
              <w:footnoteReference w:id="1"/>
            </w:r>
            <w:r w:rsidRPr="00BE66AE">
              <w:rPr>
                <w:rFonts w:ascii="Times New Roman" w:hAnsi="Times New Roman" w:cs="Times New Roman"/>
                <w:sz w:val="24"/>
                <w:szCs w:val="24"/>
              </w:rPr>
              <w:t xml:space="preserve"> </w:t>
            </w:r>
          </w:p>
        </w:tc>
        <w:tc>
          <w:tcPr>
            <w:tcW w:w="4536" w:type="dxa"/>
          </w:tcPr>
          <w:p w:rsidR="00905D95" w:rsidRPr="00BE66AE" w:rsidRDefault="00905D95" w:rsidP="00905D9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 xml:space="preserve">Дивиденды </w:t>
            </w:r>
          </w:p>
          <w:p w:rsidR="00905D95" w:rsidRPr="00BE66AE" w:rsidRDefault="00905D95" w:rsidP="00905D9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Купонный (процентный) доход</w:t>
            </w:r>
          </w:p>
          <w:p w:rsidR="00905D95" w:rsidRPr="00BE66AE" w:rsidRDefault="00905D95" w:rsidP="00905D9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Номинальная стоимость</w:t>
            </w:r>
          </w:p>
          <w:p w:rsidR="00905D95" w:rsidRPr="00BE66AE" w:rsidRDefault="00905D95" w:rsidP="00905D95">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BE66AE">
              <w:rPr>
                <w:rFonts w:ascii="Times New Roman" w:hAnsi="Times New Roman" w:cs="Times New Roman"/>
                <w:sz w:val="24"/>
                <w:szCs w:val="24"/>
              </w:rPr>
              <w:t>Частичная номинальная стоимость</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Количество ценных бумаг на Дату фиксации </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2"/>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Тип Держателя</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lang w:val="en-US"/>
              </w:rPr>
              <w:t xml:space="preserve">                                  ·       </w:t>
            </w:r>
          </w:p>
        </w:tc>
        <w:tc>
          <w:tcPr>
            <w:tcW w:w="4536" w:type="dxa"/>
          </w:tcPr>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 xml:space="preserve">владелец ценных бумаг </w:t>
            </w:r>
          </w:p>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лицо, осуществляющее права по ценным бумагам</w:t>
            </w:r>
          </w:p>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выгодоприобретатель (</w:t>
            </w:r>
            <w:proofErr w:type="spellStart"/>
            <w:r w:rsidRPr="00BE66AE">
              <w:rPr>
                <w:rFonts w:ascii="Times New Roman" w:hAnsi="Times New Roman" w:cs="Times New Roman"/>
                <w:sz w:val="24"/>
                <w:szCs w:val="24"/>
              </w:rPr>
              <w:t>бенефициарный</w:t>
            </w:r>
            <w:proofErr w:type="spellEnd"/>
            <w:r w:rsidRPr="00BE66AE">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 </w:t>
            </w:r>
          </w:p>
          <w:p w:rsidR="00905D95" w:rsidRPr="00BE66AE" w:rsidRDefault="00905D95" w:rsidP="00092250">
            <w:pPr>
              <w:pStyle w:val="a6"/>
              <w:tabs>
                <w:tab w:val="left" w:pos="67"/>
                <w:tab w:val="left" w:pos="1134"/>
                <w:tab w:val="left" w:pos="2160"/>
                <w:tab w:val="left" w:pos="9356"/>
              </w:tabs>
              <w:spacing w:before="0"/>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физическое лицо;</w:t>
            </w:r>
          </w:p>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юридическое лицо;</w:t>
            </w:r>
          </w:p>
          <w:p w:rsidR="00905D95" w:rsidRPr="00BE66AE" w:rsidRDefault="00905D95" w:rsidP="00905D95">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иностранная структура, без образования юридического лица</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(краткое) наименование/ФИО Держателя</w:t>
            </w:r>
          </w:p>
        </w:tc>
        <w:tc>
          <w:tcPr>
            <w:tcW w:w="4536" w:type="dxa"/>
          </w:tcPr>
          <w:p w:rsidR="00905D95" w:rsidRPr="00BE66AE" w:rsidRDefault="00905D95" w:rsidP="00092250">
            <w:pPr>
              <w:pStyle w:val="a6"/>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рождения Держателя - физического лица </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страны регистрации (гражданства /подданства) Держателя</w:t>
            </w:r>
            <w:r w:rsidRPr="00BE66AE">
              <w:rPr>
                <w:rFonts w:ascii="Times New Roman" w:hAnsi="Times New Roman" w:cs="Times New Roman"/>
                <w:sz w:val="24"/>
                <w:szCs w:val="24"/>
                <w:lang w:val="en-US"/>
              </w:rPr>
              <w:t> </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w:t>
            </w:r>
            <w:proofErr w:type="spellStart"/>
            <w:r w:rsidRPr="00BE66AE">
              <w:rPr>
                <w:rFonts w:ascii="Times New Roman" w:hAnsi="Times New Roman" w:cs="Times New Roman"/>
                <w:sz w:val="24"/>
                <w:szCs w:val="24"/>
              </w:rPr>
              <w:t>mail</w:t>
            </w:r>
            <w:proofErr w:type="spellEnd"/>
            <w:r w:rsidRPr="00BE66AE">
              <w:rPr>
                <w:rFonts w:ascii="Times New Roman" w:hAnsi="Times New Roman" w:cs="Times New Roman"/>
                <w:sz w:val="24"/>
                <w:szCs w:val="24"/>
              </w:rPr>
              <w:t>)</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i/>
                <w:sz w:val="24"/>
                <w:szCs w:val="24"/>
              </w:rPr>
              <w:t xml:space="preserve">В случае если банковский счет типа «С» будет открыт НКО АО НРД в соответствии с Решением от 23.12.2022 или Решением от </w:t>
            </w:r>
            <w:r w:rsidRPr="00BE66AE">
              <w:rPr>
                <w:rFonts w:ascii="Times New Roman" w:hAnsi="Times New Roman" w:cs="Times New Roman"/>
                <w:i/>
                <w:sz w:val="24"/>
                <w:szCs w:val="24"/>
              </w:rPr>
              <w:lastRenderedPageBreak/>
              <w:t>29.12.2022</w:t>
            </w:r>
            <w:r>
              <w:rPr>
                <w:rFonts w:ascii="Times New Roman" w:hAnsi="Times New Roman" w:cs="Times New Roman"/>
                <w:i/>
                <w:sz w:val="24"/>
                <w:szCs w:val="24"/>
              </w:rPr>
              <w:t xml:space="preserve"> или Решением от 22.12.2023 </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Информация о номинальном держателе (иностранном номинальном держателе), осуществляющем учет прав на ценные бумаги</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Информация о вышестоящих Номинальных держателях (Иностранных номинальных держателях)</w:t>
            </w:r>
          </w:p>
          <w:p w:rsidR="00905D95" w:rsidRPr="00BE66AE" w:rsidRDefault="00905D95"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w:t>
            </w:r>
            <w:r w:rsidRPr="00BE66AE">
              <w:rPr>
                <w:rFonts w:ascii="Times New Roman" w:hAnsi="Times New Roman" w:cs="Times New Roman"/>
                <w:sz w:val="24"/>
                <w:szCs w:val="24"/>
              </w:rPr>
              <w:lastRenderedPageBreak/>
              <w:t>держателя) в перечень (реестр) организаций, уполномоченных осуществлять учет и переход прав на ценные бумаги</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905D95" w:rsidRPr="00BE66AE" w:rsidTr="00092250">
        <w:trPr>
          <w:gridAfter w:val="1"/>
          <w:wAfter w:w="6" w:type="dxa"/>
        </w:trPr>
        <w:tc>
          <w:tcPr>
            <w:tcW w:w="1163" w:type="dxa"/>
            <w:vMerge w:val="restart"/>
          </w:tcPr>
          <w:p w:rsidR="00905D95" w:rsidRPr="00BE66AE" w:rsidDel="002B5B1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vMerge w:val="restart"/>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A42F30" w:rsidRDefault="00905D95" w:rsidP="00905D9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42F30">
              <w:rPr>
                <w:rFonts w:ascii="Times New Roman" w:hAnsi="Times New Roman" w:cs="Times New Roman"/>
                <w:b/>
                <w:sz w:val="24"/>
                <w:szCs w:val="24"/>
              </w:rPr>
              <w:t>в отношении лица, по счету которого предоставлена информация о принадлежности ценных бумаг</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905D95" w:rsidRPr="00BE66AE" w:rsidTr="00092250">
        <w:trPr>
          <w:gridAfter w:val="1"/>
          <w:wAfter w:w="6" w:type="dxa"/>
        </w:trPr>
        <w:tc>
          <w:tcPr>
            <w:tcW w:w="1163" w:type="dxa"/>
            <w:vMerge/>
          </w:tcPr>
          <w:p w:rsidR="00905D95" w:rsidRPr="00BE66AE" w:rsidDel="002B5B1E" w:rsidRDefault="00905D95" w:rsidP="00092250">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905D95" w:rsidRPr="00BE66AE" w:rsidDel="002B5B1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A42F30" w:rsidRDefault="00905D95" w:rsidP="00905D9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42F30">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905D95" w:rsidRPr="00BE66AE" w:rsidRDefault="00905D95"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4"/>
                <w:szCs w:val="24"/>
              </w:rPr>
              <w:lastRenderedPageBreak/>
              <w:t>___________________________________</w:t>
            </w:r>
          </w:p>
        </w:tc>
      </w:tr>
      <w:tr w:rsidR="00905D95" w:rsidRPr="00BE66AE" w:rsidTr="00092250">
        <w:trPr>
          <w:gridAfter w:val="1"/>
          <w:wAfter w:w="6" w:type="dxa"/>
        </w:trPr>
        <w:tc>
          <w:tcPr>
            <w:tcW w:w="1163" w:type="dxa"/>
            <w:vMerge/>
          </w:tcPr>
          <w:p w:rsidR="00905D95" w:rsidRPr="00BE66AE" w:rsidDel="002B5B1E" w:rsidRDefault="00905D95" w:rsidP="00092250">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905D95" w:rsidRPr="00BE66AE" w:rsidDel="002B5B1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7666A9" w:rsidRDefault="00905D95" w:rsidP="00905D95">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7666A9">
              <w:rPr>
                <w:rFonts w:ascii="Times New Roman" w:hAnsi="Times New Roman" w:cs="Times New Roman"/>
                <w:b/>
                <w:sz w:val="24"/>
                <w:szCs w:val="24"/>
              </w:rPr>
              <w:t>в отношении территории регистрации (гражданства) лица, по счету которого предоставлена информация о принадлежности ценных бумаг</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905D95" w:rsidRPr="00BE66AE" w:rsidRDefault="00905D95"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rsidR="00905D95" w:rsidRPr="00BE66AE" w:rsidRDefault="00905D95" w:rsidP="00092250">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905D95" w:rsidRPr="00BE66AE" w:rsidTr="00092250">
        <w:trPr>
          <w:gridAfter w:val="1"/>
          <w:wAfter w:w="6" w:type="dxa"/>
        </w:trPr>
        <w:tc>
          <w:tcPr>
            <w:tcW w:w="1163" w:type="dxa"/>
          </w:tcPr>
          <w:p w:rsidR="00905D95" w:rsidRPr="00BE66AE" w:rsidDel="002B5B1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Del="002B5B1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rsidR="00905D95" w:rsidRPr="00BE66AE" w:rsidRDefault="00905D95"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Del="002B5B1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1644DE" w:rsidDel="002B5B1E" w:rsidRDefault="00905D95" w:rsidP="00092250">
            <w:pPr>
              <w:tabs>
                <w:tab w:val="left" w:pos="1134"/>
                <w:tab w:val="left" w:pos="2160"/>
                <w:tab w:val="left" w:pos="9356"/>
              </w:tabs>
              <w:ind w:right="-1"/>
              <w:jc w:val="both"/>
              <w:rPr>
                <w:rFonts w:ascii="Times New Roman" w:hAnsi="Times New Roman" w:cs="Times New Roman"/>
                <w:sz w:val="24"/>
                <w:szCs w:val="24"/>
              </w:rPr>
            </w:pPr>
            <w:r w:rsidRPr="001644D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rsidR="00905D95" w:rsidRPr="00BE66AE" w:rsidRDefault="00905D95" w:rsidP="00092250">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5D95" w:rsidRPr="00BE66AE" w:rsidTr="00092250">
        <w:trPr>
          <w:gridAfter w:val="1"/>
          <w:wAfter w:w="6" w:type="dxa"/>
        </w:trPr>
        <w:tc>
          <w:tcPr>
            <w:tcW w:w="1163" w:type="dxa"/>
          </w:tcPr>
          <w:p w:rsidR="00905D95" w:rsidRPr="00BE66AE" w:rsidDel="002B5B1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1644DE" w:rsidRDefault="00905D95" w:rsidP="00092250">
            <w:pPr>
              <w:tabs>
                <w:tab w:val="left" w:pos="1134"/>
                <w:tab w:val="left" w:pos="2160"/>
                <w:tab w:val="left" w:pos="9356"/>
              </w:tabs>
              <w:ind w:right="-1"/>
              <w:jc w:val="both"/>
              <w:rPr>
                <w:rFonts w:ascii="Times New Roman" w:eastAsia="Calibri" w:hAnsi="Times New Roman" w:cs="Times New Roman"/>
                <w:bCs/>
                <w:snapToGrid w:val="0"/>
                <w:sz w:val="24"/>
                <w:szCs w:val="24"/>
              </w:rPr>
            </w:pPr>
            <w:r w:rsidRPr="001644DE">
              <w:rPr>
                <w:rFonts w:ascii="Times New Roman" w:eastAsia="Calibri" w:hAnsi="Times New Roman" w:cs="Times New Roman"/>
                <w:bCs/>
                <w:snapToGrid w:val="0"/>
                <w:sz w:val="24"/>
                <w:szCs w:val="24"/>
              </w:rPr>
              <w:t>Не обладаю сведениями, перечисленными в пунктах 23-25</w:t>
            </w:r>
          </w:p>
        </w:tc>
        <w:tc>
          <w:tcPr>
            <w:tcW w:w="4536" w:type="dxa"/>
          </w:tcPr>
          <w:p w:rsidR="00905D95" w:rsidRPr="00BE66AE" w:rsidRDefault="00905D95" w:rsidP="00905D95">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905D95" w:rsidRPr="00BE66AE" w:rsidRDefault="00905D95" w:rsidP="00092250">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BE66AE">
              <w:rPr>
                <w:rFonts w:ascii="Times New Roman" w:hAnsi="Times New Roman" w:cs="Times New Roman"/>
                <w:b/>
                <w:sz w:val="24"/>
                <w:szCs w:val="24"/>
              </w:rPr>
              <w:fldChar w:fldCharType="begin"/>
            </w:r>
            <w:r w:rsidRPr="00BE66AE">
              <w:rPr>
                <w:rFonts w:ascii="Times New Roman" w:hAnsi="Times New Roman" w:cs="Times New Roman"/>
                <w:b/>
                <w:sz w:val="24"/>
                <w:szCs w:val="24"/>
              </w:rPr>
              <w:instrText xml:space="preserve"> REF _Ref113019016 \r \h  \* MERGEFORMAT </w:instrText>
            </w:r>
            <w:r w:rsidRPr="00BE66AE">
              <w:rPr>
                <w:rFonts w:ascii="Times New Roman" w:hAnsi="Times New Roman" w:cs="Times New Roman"/>
                <w:b/>
                <w:sz w:val="24"/>
                <w:szCs w:val="24"/>
              </w:rPr>
            </w:r>
            <w:r w:rsidRPr="00BE66AE">
              <w:rPr>
                <w:rFonts w:ascii="Times New Roman" w:hAnsi="Times New Roman" w:cs="Times New Roman"/>
                <w:b/>
                <w:sz w:val="24"/>
                <w:szCs w:val="24"/>
              </w:rPr>
              <w:fldChar w:fldCharType="separate"/>
            </w:r>
            <w:r w:rsidRPr="00BE66AE">
              <w:rPr>
                <w:rFonts w:ascii="Times New Roman" w:hAnsi="Times New Roman" w:cs="Times New Roman"/>
                <w:b/>
                <w:sz w:val="24"/>
                <w:szCs w:val="24"/>
              </w:rPr>
              <w:t>2.8</w:t>
            </w:r>
            <w:r w:rsidRPr="00BE66AE">
              <w:rPr>
                <w:rFonts w:ascii="Times New Roman" w:hAnsi="Times New Roman" w:cs="Times New Roman"/>
                <w:b/>
                <w:sz w:val="24"/>
                <w:szCs w:val="24"/>
              </w:rPr>
              <w:fldChar w:fldCharType="end"/>
            </w:r>
            <w:r w:rsidRPr="00BE66AE">
              <w:rPr>
                <w:rFonts w:ascii="Times New Roman" w:hAnsi="Times New Roman" w:cs="Times New Roman"/>
                <w:b/>
                <w:sz w:val="24"/>
                <w:szCs w:val="24"/>
              </w:rPr>
              <w:t xml:space="preserve"> раздела 2</w:t>
            </w:r>
            <w:r w:rsidRPr="00BE66AE">
              <w:rPr>
                <w:rFonts w:ascii="Times New Roman" w:hAnsi="Times New Roman" w:cs="Times New Roman"/>
                <w:sz w:val="24"/>
                <w:szCs w:val="24"/>
              </w:rPr>
              <w:t xml:space="preserve"> </w:t>
            </w:r>
            <w:r w:rsidRPr="00BE66AE">
              <w:rPr>
                <w:rFonts w:ascii="Times New Roman" w:hAnsi="Times New Roman" w:cs="Times New Roman"/>
                <w:b/>
                <w:sz w:val="24"/>
                <w:szCs w:val="24"/>
              </w:rPr>
              <w:t>Перечня</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C844DF">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BE66AE" w:rsidDel="00B123D7">
              <w:rPr>
                <w:rFonts w:ascii="Times New Roman" w:hAnsi="Times New Roman" w:cs="Times New Roman"/>
                <w:sz w:val="24"/>
                <w:szCs w:val="24"/>
              </w:rPr>
              <w:t xml:space="preserve"> </w:t>
            </w:r>
          </w:p>
        </w:tc>
        <w:tc>
          <w:tcPr>
            <w:tcW w:w="4536" w:type="dxa"/>
          </w:tcPr>
          <w:p w:rsidR="00905D95" w:rsidRPr="00BE66AE" w:rsidRDefault="00905D95" w:rsidP="00905D95">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67"/>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536" w:type="dxa"/>
          </w:tcPr>
          <w:p w:rsidR="00905D95" w:rsidRPr="00BE66AE" w:rsidRDefault="00905D95" w:rsidP="00905D9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905D95" w:rsidRPr="00BE66AE" w:rsidRDefault="00905D95" w:rsidP="00905D9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 xml:space="preserve">.1. Наименование российского Банка Получателя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.3. Город российского Банка Получателя</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.5. ИНН получателя средств</w:t>
            </w:r>
            <w:r w:rsidRPr="00BE66AE">
              <w:rPr>
                <w:rFonts w:ascii="Times New Roman" w:hAnsi="Times New Roman" w:cs="Times New Roman"/>
                <w:sz w:val="24"/>
                <w:szCs w:val="24"/>
              </w:rPr>
              <w:t>, присвоенный ро</w:t>
            </w:r>
            <w:r>
              <w:rPr>
                <w:rFonts w:ascii="Times New Roman" w:hAnsi="Times New Roman" w:cs="Times New Roman"/>
                <w:sz w:val="24"/>
                <w:szCs w:val="24"/>
              </w:rPr>
              <w:t>ссийскими налоговыми органами</w:t>
            </w:r>
            <w:r w:rsidRPr="00BE66AE">
              <w:rPr>
                <w:rFonts w:ascii="Times New Roman" w:hAnsi="Times New Roman" w:cs="Times New Roman"/>
                <w:sz w:val="24"/>
                <w:szCs w:val="24"/>
              </w:rPr>
              <w:t xml:space="preserve"> (10 знаков для ЮЛ или 12 знаков для ФЛ)</w:t>
            </w:r>
          </w:p>
          <w:p w:rsidR="00905D95" w:rsidRPr="00BE66AE" w:rsidRDefault="00905D95"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r w:rsidRPr="00BE66AE">
              <w:rPr>
                <w:rFonts w:ascii="Times New Roman" w:hAnsi="Times New Roman" w:cs="Times New Roman"/>
                <w:b/>
                <w:sz w:val="24"/>
                <w:szCs w:val="24"/>
              </w:rPr>
              <w:t>.6. Наименование Получателя</w:t>
            </w:r>
            <w:r w:rsidRPr="00BE66AE">
              <w:rPr>
                <w:rFonts w:ascii="Times New Roman" w:hAnsi="Times New Roman" w:cs="Times New Roman"/>
                <w:sz w:val="24"/>
                <w:szCs w:val="24"/>
              </w:rPr>
              <w:t xml:space="preserve"> (в соответствии с </w:t>
            </w:r>
            <w:proofErr w:type="gramStart"/>
            <w:r w:rsidRPr="00BE66AE">
              <w:rPr>
                <w:rFonts w:ascii="Times New Roman" w:hAnsi="Times New Roman" w:cs="Times New Roman"/>
                <w:sz w:val="24"/>
                <w:szCs w:val="24"/>
              </w:rPr>
              <w:t>Уставом)*</w:t>
            </w:r>
            <w:proofErr w:type="gramEnd"/>
            <w:r w:rsidRPr="00BE66AE">
              <w:rPr>
                <w:rFonts w:ascii="Times New Roman" w:hAnsi="Times New Roman" w:cs="Times New Roman"/>
                <w:sz w:val="24"/>
                <w:szCs w:val="24"/>
              </w:rPr>
              <w:t xml:space="preserve">                                            </w:t>
            </w:r>
          </w:p>
          <w:p w:rsidR="00905D95" w:rsidRPr="00BE66AE" w:rsidRDefault="00905D95"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2</w:t>
            </w:r>
            <w:r w:rsidR="00D33220">
              <w:rPr>
                <w:rFonts w:ascii="Times New Roman" w:hAnsi="Times New Roman" w:cs="Times New Roman"/>
                <w:b/>
                <w:sz w:val="24"/>
                <w:szCs w:val="24"/>
              </w:rPr>
              <w:t>9</w:t>
            </w:r>
            <w:bookmarkStart w:id="0" w:name="_GoBack"/>
            <w:bookmarkEnd w:id="0"/>
            <w:r w:rsidRPr="00BE66AE">
              <w:rPr>
                <w:rFonts w:ascii="Times New Roman" w:hAnsi="Times New Roman" w:cs="Times New Roman"/>
                <w:b/>
                <w:sz w:val="24"/>
                <w:szCs w:val="24"/>
              </w:rPr>
              <w:t>.7.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 xml:space="preserve">/с или р/с </w:t>
            </w:r>
            <w:proofErr w:type="gramStart"/>
            <w:r w:rsidRPr="00BE66AE">
              <w:rPr>
                <w:rFonts w:ascii="Times New Roman" w:hAnsi="Times New Roman" w:cs="Times New Roman"/>
                <w:sz w:val="24"/>
                <w:szCs w:val="24"/>
              </w:rPr>
              <w:t>Получателя)*</w:t>
            </w:r>
            <w:proofErr w:type="gramEnd"/>
          </w:p>
          <w:p w:rsidR="00905D95" w:rsidRPr="00BE66AE" w:rsidRDefault="00905D95"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w:t>
            </w:r>
            <w:proofErr w:type="gramStart"/>
            <w:r w:rsidRPr="00BE66AE">
              <w:rPr>
                <w:rFonts w:ascii="Times New Roman" w:hAnsi="Times New Roman" w:cs="Times New Roman"/>
                <w:i/>
                <w:sz w:val="24"/>
                <w:szCs w:val="24"/>
              </w:rPr>
              <w:t>В</w:t>
            </w:r>
            <w:proofErr w:type="gramEnd"/>
            <w:r w:rsidRPr="00BE66AE">
              <w:rPr>
                <w:rFonts w:ascii="Times New Roman" w:hAnsi="Times New Roman" w:cs="Times New Roman"/>
                <w:i/>
                <w:sz w:val="24"/>
                <w:szCs w:val="24"/>
              </w:rPr>
              <w:t xml:space="preserve"> случае если лицу, имеющему право на получение выплаты </w:t>
            </w:r>
            <w:r w:rsidRPr="00BE66AE">
              <w:rPr>
                <w:rFonts w:ascii="Times New Roman" w:hAnsi="Times New Roman" w:cs="Times New Roman"/>
                <w:i/>
                <w:sz w:val="24"/>
                <w:szCs w:val="24"/>
              </w:rPr>
              <w:lastRenderedPageBreak/>
              <w:t xml:space="preserve">открыт счет в иностранном банке, указывается корреспондентский счет, открытый иностранному банку в российском банке                  </w:t>
            </w:r>
          </w:p>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c>
          <w:tcPr>
            <w:tcW w:w="4536"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p>
        </w:tc>
      </w:tr>
      <w:tr w:rsidR="00905D95" w:rsidRPr="00BE66AE" w:rsidTr="00092250">
        <w:tc>
          <w:tcPr>
            <w:tcW w:w="9532" w:type="dxa"/>
            <w:gridSpan w:val="4"/>
          </w:tcPr>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w:t>
            </w:r>
            <w:r>
              <w:rPr>
                <w:rStyle w:val="a8"/>
                <w:rFonts w:ascii="Times New Roman" w:hAnsi="Times New Roman" w:cs="Times New Roman"/>
                <w:b/>
                <w:sz w:val="24"/>
                <w:szCs w:val="24"/>
              </w:rPr>
              <w:footnoteReference w:id="3"/>
            </w:r>
            <w:r w:rsidRPr="00BE66AE">
              <w:rPr>
                <w:rFonts w:ascii="Times New Roman" w:hAnsi="Times New Roman" w:cs="Times New Roman"/>
                <w:b/>
                <w:sz w:val="24"/>
                <w:szCs w:val="24"/>
              </w:rPr>
              <w:t xml:space="preserve"> </w:t>
            </w:r>
          </w:p>
        </w:tc>
      </w:tr>
      <w:tr w:rsidR="00905D95" w:rsidRPr="00BE66AE" w:rsidTr="00092250">
        <w:trPr>
          <w:gridAfter w:val="1"/>
          <w:wAfter w:w="6" w:type="dxa"/>
        </w:trPr>
        <w:tc>
          <w:tcPr>
            <w:tcW w:w="1163" w:type="dxa"/>
          </w:tcPr>
          <w:p w:rsidR="00905D95" w:rsidRPr="00BE66AE" w:rsidRDefault="00905D95" w:rsidP="00905D95">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905D95" w:rsidRPr="00BE66AE" w:rsidRDefault="00905D95"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w:t>
            </w:r>
            <w:r w:rsidRPr="00F17038">
              <w:rPr>
                <w:rFonts w:ascii="Times New Roman" w:hAnsi="Times New Roman" w:cs="Times New Roman"/>
                <w:b/>
                <w:sz w:val="24"/>
                <w:szCs w:val="24"/>
              </w:rPr>
              <w:t xml:space="preserve"> </w:t>
            </w:r>
            <w:r>
              <w:rPr>
                <w:rFonts w:ascii="Times New Roman" w:hAnsi="Times New Roman" w:cs="Times New Roman"/>
                <w:b/>
                <w:sz w:val="24"/>
                <w:szCs w:val="24"/>
              </w:rPr>
              <w:t>в НКО АО НРД</w:t>
            </w:r>
            <w:r w:rsidRPr="00BE66AE">
              <w:rPr>
                <w:rFonts w:ascii="Times New Roman" w:hAnsi="Times New Roman" w:cs="Times New Roman"/>
                <w:b/>
                <w:sz w:val="24"/>
                <w:szCs w:val="24"/>
              </w:rPr>
              <w:t xml:space="preserve"> документах,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 </w:t>
            </w:r>
            <w:r w:rsidRPr="00BE66AE">
              <w:rPr>
                <w:rFonts w:ascii="Times New Roman" w:hAnsi="Times New Roman" w:cs="Times New Roman"/>
                <w:sz w:val="24"/>
                <w:szCs w:val="24"/>
              </w:rPr>
              <w:t xml:space="preserve">информацию о </w:t>
            </w:r>
            <w:r>
              <w:rPr>
                <w:rFonts w:ascii="Times New Roman" w:hAnsi="Times New Roman" w:cs="Times New Roman"/>
                <w:sz w:val="24"/>
                <w:szCs w:val="24"/>
              </w:rPr>
              <w:t xml:space="preserve">факте </w:t>
            </w:r>
            <w:r w:rsidRPr="00BE66AE">
              <w:rPr>
                <w:rFonts w:ascii="Times New Roman" w:hAnsi="Times New Roman" w:cs="Times New Roman"/>
                <w:sz w:val="24"/>
                <w:szCs w:val="24"/>
              </w:rPr>
              <w:t>осуществлени</w:t>
            </w:r>
            <w:r>
              <w:rPr>
                <w:rFonts w:ascii="Times New Roman" w:hAnsi="Times New Roman" w:cs="Times New Roman"/>
                <w:sz w:val="24"/>
                <w:szCs w:val="24"/>
              </w:rPr>
              <w:t>я</w:t>
            </w:r>
            <w:r w:rsidRPr="00BE66AE">
              <w:rPr>
                <w:rFonts w:ascii="Times New Roman" w:hAnsi="Times New Roman" w:cs="Times New Roman"/>
                <w:sz w:val="24"/>
                <w:szCs w:val="24"/>
              </w:rPr>
              <w:t xml:space="preserve">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905D95" w:rsidRPr="00BE66AE" w:rsidRDefault="00905D95"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536" w:type="dxa"/>
          </w:tcPr>
          <w:p w:rsidR="00905D95" w:rsidRPr="00BE66AE" w:rsidRDefault="00905D95" w:rsidP="00905D9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905D95" w:rsidRPr="00BE66AE" w:rsidRDefault="00905D95" w:rsidP="00905D95">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bl>
    <w:p w:rsidR="00905D95" w:rsidRPr="00BE66AE" w:rsidRDefault="00905D95" w:rsidP="00905D95">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w:t>
      </w:r>
    </w:p>
    <w:p w:rsidR="00905D95" w:rsidRPr="00BE66AE" w:rsidRDefault="00905D95" w:rsidP="00905D9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905D95" w:rsidRPr="00BE66AE" w:rsidRDefault="00905D95" w:rsidP="00905D95">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5D95" w:rsidRPr="00BE66AE" w:rsidTr="00092250">
        <w:tc>
          <w:tcPr>
            <w:tcW w:w="3546" w:type="dxa"/>
          </w:tcPr>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___________________________</w:t>
            </w:r>
          </w:p>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p>
        </w:tc>
        <w:tc>
          <w:tcPr>
            <w:tcW w:w="2831" w:type="dxa"/>
          </w:tcPr>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905D95" w:rsidRPr="00BE66AE" w:rsidRDefault="00905D95"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Style w:val="a8"/>
                <w:rFonts w:ascii="Times New Roman" w:hAnsi="Times New Roman" w:cs="Times New Roman"/>
                <w:sz w:val="24"/>
                <w:szCs w:val="24"/>
              </w:rPr>
              <w:footnoteReference w:id="4"/>
            </w:r>
          </w:p>
        </w:tc>
      </w:tr>
    </w:tbl>
    <w:p w:rsidR="00905D95" w:rsidRPr="001644DE" w:rsidRDefault="00905D95" w:rsidP="00905D95"/>
    <w:p w:rsidR="00905D95" w:rsidRPr="001644DE" w:rsidRDefault="00905D95" w:rsidP="00905D95"/>
    <w:p w:rsidR="00905D95" w:rsidRDefault="00905D95" w:rsidP="00905D95"/>
    <w:p w:rsidR="0066395E" w:rsidRDefault="0066395E"/>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95" w:rsidRDefault="00905D95" w:rsidP="00905D95">
      <w:pPr>
        <w:spacing w:after="0" w:line="240" w:lineRule="auto"/>
      </w:pPr>
      <w:r>
        <w:separator/>
      </w:r>
    </w:p>
  </w:endnote>
  <w:endnote w:type="continuationSeparator" w:id="0">
    <w:p w:rsidR="00905D95" w:rsidRDefault="00905D95" w:rsidP="0090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95" w:rsidRDefault="00905D95" w:rsidP="00905D95">
      <w:pPr>
        <w:spacing w:after="0" w:line="240" w:lineRule="auto"/>
      </w:pPr>
      <w:r>
        <w:separator/>
      </w:r>
    </w:p>
  </w:footnote>
  <w:footnote w:type="continuationSeparator" w:id="0">
    <w:p w:rsidR="00905D95" w:rsidRDefault="00905D95" w:rsidP="00905D95">
      <w:pPr>
        <w:spacing w:after="0" w:line="240" w:lineRule="auto"/>
      </w:pPr>
      <w:r>
        <w:continuationSeparator/>
      </w:r>
    </w:p>
  </w:footnote>
  <w:footnote w:id="1">
    <w:p w:rsidR="00905D95" w:rsidRDefault="00905D95" w:rsidP="00905D95">
      <w:pPr>
        <w:pStyle w:val="a9"/>
        <w:jc w:val="both"/>
      </w:pPr>
      <w:r>
        <w:rPr>
          <w:rStyle w:val="a8"/>
        </w:rPr>
        <w:footnoteRef/>
      </w:r>
      <w:r>
        <w:t xml:space="preserve"> </w:t>
      </w:r>
      <w:r w:rsidRPr="005A23C3">
        <w:rPr>
          <w:rFonts w:cstheme="minorHAnsi"/>
          <w:sz w:val="18"/>
          <w:szCs w:val="18"/>
        </w:rPr>
        <w:t xml:space="preserve">В случае если </w:t>
      </w:r>
      <w:r>
        <w:rPr>
          <w:rFonts w:cstheme="minorHAnsi"/>
          <w:sz w:val="18"/>
          <w:szCs w:val="18"/>
        </w:rPr>
        <w:t>Д</w:t>
      </w:r>
      <w:r w:rsidRPr="005A23C3">
        <w:rPr>
          <w:rFonts w:cstheme="minorHAnsi"/>
          <w:sz w:val="18"/>
          <w:szCs w:val="18"/>
        </w:rPr>
        <w:t>ата фиксации для выплаты купонного дохода и номинальной стоимости / частичной номинальной стоимости</w:t>
      </w:r>
      <w:r>
        <w:rPr>
          <w:rFonts w:cstheme="minorHAnsi"/>
          <w:sz w:val="18"/>
          <w:szCs w:val="18"/>
        </w:rPr>
        <w:t xml:space="preserve"> </w:t>
      </w:r>
      <w:r w:rsidRPr="005A23C3">
        <w:rPr>
          <w:rFonts w:cstheme="minorHAnsi"/>
          <w:sz w:val="18"/>
          <w:szCs w:val="18"/>
        </w:rPr>
        <w:t>совпадает, указывается несколько вариантов. При выборе нескольких вариантов проставляется</w:t>
      </w:r>
      <w:r>
        <w:rPr>
          <w:rFonts w:cstheme="minorHAnsi"/>
          <w:sz w:val="18"/>
          <w:szCs w:val="18"/>
        </w:rPr>
        <w:t xml:space="preserve"> отметка напротив каждого вида в</w:t>
      </w:r>
      <w:r w:rsidRPr="005A23C3">
        <w:rPr>
          <w:rFonts w:cstheme="minorHAnsi"/>
          <w:sz w:val="18"/>
          <w:szCs w:val="18"/>
        </w:rPr>
        <w:t xml:space="preserve">ыплаты по </w:t>
      </w:r>
      <w:r>
        <w:rPr>
          <w:rFonts w:cstheme="minorHAnsi"/>
          <w:sz w:val="18"/>
          <w:szCs w:val="18"/>
        </w:rPr>
        <w:t>ценным бумагам</w:t>
      </w:r>
      <w:r w:rsidRPr="005A23C3">
        <w:rPr>
          <w:rFonts w:cstheme="minorHAnsi"/>
          <w:sz w:val="18"/>
          <w:szCs w:val="18"/>
        </w:rPr>
        <w:t>.</w:t>
      </w:r>
    </w:p>
  </w:footnote>
  <w:footnote w:id="2">
    <w:p w:rsidR="00905D95" w:rsidRPr="006608A6" w:rsidRDefault="00905D95" w:rsidP="00905D95">
      <w:pPr>
        <w:pStyle w:val="a9"/>
        <w:jc w:val="both"/>
        <w:rPr>
          <w:sz w:val="20"/>
          <w:szCs w:val="20"/>
        </w:rPr>
      </w:pPr>
      <w:r w:rsidRPr="00E9327B">
        <w:rPr>
          <w:rStyle w:val="a8"/>
        </w:rPr>
        <w:footnoteRef/>
      </w:r>
      <w:r w:rsidRPr="00E9327B">
        <w:t xml:space="preserve"> </w:t>
      </w:r>
      <w:r w:rsidRPr="005A23C3">
        <w:rPr>
          <w:sz w:val="18"/>
          <w:szCs w:val="18"/>
        </w:rPr>
        <w:t>Для пересчета количества облигаций, выраженного в валюте по номинальной стоимости, в штуки</w:t>
      </w:r>
      <w:r>
        <w:rPr>
          <w:sz w:val="18"/>
          <w:szCs w:val="18"/>
        </w:rPr>
        <w:t>,</w:t>
      </w:r>
      <w:r w:rsidRPr="005A23C3">
        <w:rPr>
          <w:sz w:val="18"/>
          <w:szCs w:val="18"/>
        </w:rPr>
        <w:t xml:space="preserve"> </w:t>
      </w:r>
      <w:r w:rsidRPr="00021BC9">
        <w:rPr>
          <w:sz w:val="18"/>
          <w:szCs w:val="18"/>
        </w:rPr>
        <w:t>необходимо</w:t>
      </w:r>
      <w:r w:rsidRPr="005A23C3">
        <w:rPr>
          <w:sz w:val="18"/>
          <w:szCs w:val="18"/>
        </w:rPr>
        <w:t xml:space="preserve"> разделить такое количество на номинальную стоимость одной облигации.</w:t>
      </w:r>
    </w:p>
    <w:p w:rsidR="00905D95" w:rsidRDefault="00905D95" w:rsidP="00905D95">
      <w:pPr>
        <w:pStyle w:val="a4"/>
      </w:pPr>
    </w:p>
    <w:p w:rsidR="00905D95" w:rsidRDefault="00905D95" w:rsidP="00905D95">
      <w:pPr>
        <w:pStyle w:val="a4"/>
      </w:pPr>
    </w:p>
  </w:footnote>
  <w:footnote w:id="3">
    <w:p w:rsidR="00905D95" w:rsidRPr="00D6729E" w:rsidRDefault="00905D95" w:rsidP="00905D95">
      <w:pPr>
        <w:pStyle w:val="a9"/>
        <w:jc w:val="both"/>
        <w:rPr>
          <w:rFonts w:cstheme="minorHAnsi"/>
          <w:sz w:val="18"/>
          <w:szCs w:val="18"/>
        </w:rPr>
      </w:pPr>
      <w:r w:rsidRPr="001644DE">
        <w:rPr>
          <w:rStyle w:val="a8"/>
        </w:rPr>
        <w:footnoteRef/>
      </w:r>
      <w:r w:rsidRPr="001644DE">
        <w:t xml:space="preserve"> </w:t>
      </w:r>
      <w:r w:rsidRPr="001644DE">
        <w:rPr>
          <w:sz w:val="18"/>
          <w:szCs w:val="18"/>
        </w:rPr>
        <w:t>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w:t>
      </w:r>
      <w:r w:rsidRPr="00CE6F61">
        <w:rPr>
          <w:sz w:val="18"/>
          <w:szCs w:val="18"/>
        </w:rPr>
        <w:t xml:space="preserve"> </w:t>
      </w:r>
    </w:p>
  </w:footnote>
  <w:footnote w:id="4">
    <w:p w:rsidR="00905D95" w:rsidRPr="002278C4" w:rsidRDefault="00905D95" w:rsidP="00905D95">
      <w:pPr>
        <w:pStyle w:val="a9"/>
        <w:jc w:val="both"/>
        <w:rPr>
          <w:rFonts w:ascii="Times New Roman" w:hAnsi="Times New Roman"/>
        </w:rPr>
      </w:pPr>
      <w:r w:rsidRPr="009E2F44">
        <w:rPr>
          <w:rStyle w:val="a8"/>
          <w:rFonts w:cstheme="minorHAnsi"/>
          <w:sz w:val="18"/>
          <w:szCs w:val="18"/>
        </w:rPr>
        <w:footnoteRef/>
      </w:r>
      <w:r w:rsidRPr="009E2F44">
        <w:rPr>
          <w:rFonts w:cstheme="minorHAnsi"/>
          <w:sz w:val="18"/>
          <w:szCs w:val="18"/>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2F"/>
    <w:rsid w:val="0066395E"/>
    <w:rsid w:val="0073712F"/>
    <w:rsid w:val="00905D95"/>
    <w:rsid w:val="00D3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1B8E"/>
  <w15:chartTrackingRefBased/>
  <w15:docId w15:val="{DD1F1360-8189-4FAE-989E-48CF84C5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95"/>
    <w:pPr>
      <w:spacing w:after="200" w:line="276" w:lineRule="auto"/>
    </w:pPr>
  </w:style>
  <w:style w:type="paragraph" w:styleId="1">
    <w:name w:val="heading 1"/>
    <w:basedOn w:val="a"/>
    <w:next w:val="a"/>
    <w:link w:val="10"/>
    <w:uiPriority w:val="9"/>
    <w:qFormat/>
    <w:rsid w:val="00905D95"/>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D95"/>
    <w:rPr>
      <w:rFonts w:ascii="Times New Roman" w:eastAsiaTheme="majorEastAsia" w:hAnsi="Times New Roman" w:cstheme="majorBidi"/>
      <w:sz w:val="24"/>
      <w:szCs w:val="32"/>
    </w:rPr>
  </w:style>
  <w:style w:type="table" w:styleId="a3">
    <w:name w:val="Table Grid"/>
    <w:basedOn w:val="a1"/>
    <w:uiPriority w:val="39"/>
    <w:rsid w:val="009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905D95"/>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905D95"/>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905D95"/>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905D95"/>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905D95"/>
    <w:rPr>
      <w:vertAlign w:val="superscript"/>
    </w:rPr>
  </w:style>
  <w:style w:type="paragraph" w:styleId="a9">
    <w:name w:val="No Spacing"/>
    <w:uiPriority w:val="1"/>
    <w:qFormat/>
    <w:rsid w:val="00905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3</cp:revision>
  <dcterms:created xsi:type="dcterms:W3CDTF">2024-04-01T07:48:00Z</dcterms:created>
  <dcterms:modified xsi:type="dcterms:W3CDTF">2024-04-12T09:29:00Z</dcterms:modified>
</cp:coreProperties>
</file>