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643" w:rsidRPr="002776EA" w:rsidRDefault="004A6643" w:rsidP="004A6643">
      <w:pPr>
        <w:jc w:val="right"/>
        <w:rPr>
          <w:rFonts w:ascii="Times New Roman" w:hAnsi="Times New Roman" w:cs="Times New Roman"/>
          <w:sz w:val="24"/>
          <w:szCs w:val="24"/>
        </w:rPr>
      </w:pPr>
      <w:r w:rsidRPr="002776EA">
        <w:rPr>
          <w:rFonts w:ascii="Times New Roman" w:hAnsi="Times New Roman" w:cs="Times New Roman"/>
          <w:sz w:val="24"/>
          <w:szCs w:val="24"/>
        </w:rPr>
        <w:t>Приложение 3</w:t>
      </w:r>
    </w:p>
    <w:p w:rsidR="004A6643" w:rsidRPr="002776EA" w:rsidRDefault="004A6643" w:rsidP="004A6643">
      <w:pPr>
        <w:spacing w:after="120"/>
        <w:jc w:val="both"/>
        <w:rPr>
          <w:rFonts w:ascii="Times New Roman" w:hAnsi="Times New Roman" w:cs="Times New Roman"/>
          <w:sz w:val="24"/>
          <w:szCs w:val="24"/>
        </w:rPr>
      </w:pPr>
    </w:p>
    <w:p w:rsidR="004A6643" w:rsidRPr="002776EA" w:rsidRDefault="004A6643" w:rsidP="004A6643">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Заявление</w:t>
      </w:r>
    </w:p>
    <w:p w:rsidR="004A6643" w:rsidRPr="002776EA" w:rsidRDefault="004A6643" w:rsidP="004A6643">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о перечислении денежных средств по Еврооблигациям</w:t>
      </w:r>
    </w:p>
    <w:p w:rsidR="004A6643" w:rsidRPr="002776EA" w:rsidRDefault="004A6643" w:rsidP="004A6643">
      <w:pPr>
        <w:pStyle w:val="a"/>
        <w:numPr>
          <w:ilvl w:val="0"/>
          <w:numId w:val="0"/>
        </w:numPr>
        <w:contextualSpacing/>
        <w:jc w:val="center"/>
        <w:rPr>
          <w:rFonts w:eastAsia="Times New Roman" w:cs="Times New Roman"/>
          <w:color w:val="auto"/>
          <w:szCs w:val="24"/>
        </w:rPr>
      </w:pPr>
    </w:p>
    <w:p w:rsidR="004A6643" w:rsidRPr="002776EA" w:rsidRDefault="004A6643" w:rsidP="004A6643">
      <w:pPr>
        <w:tabs>
          <w:tab w:val="left" w:pos="1134"/>
          <w:tab w:val="left" w:pos="9356"/>
        </w:tabs>
        <w:ind w:left="851" w:right="-1" w:hanging="851"/>
        <w:jc w:val="both"/>
        <w:rPr>
          <w:rFonts w:ascii="Times New Roman" w:hAnsi="Times New Roman" w:cs="Times New Roman"/>
          <w:sz w:val="24"/>
          <w:szCs w:val="24"/>
        </w:rPr>
      </w:pPr>
      <w:r w:rsidRPr="002776EA">
        <w:rPr>
          <w:rFonts w:ascii="Times New Roman" w:hAnsi="Times New Roman" w:cs="Times New Roman"/>
          <w:sz w:val="24"/>
          <w:szCs w:val="24"/>
        </w:rPr>
        <w:t>Прошу НКО АО НРД перечислить денежные средства в рублях по Еврооблигациям:</w:t>
      </w:r>
    </w:p>
    <w:tbl>
      <w:tblPr>
        <w:tblStyle w:val="a4"/>
        <w:tblW w:w="9243" w:type="dxa"/>
        <w:tblInd w:w="108" w:type="dxa"/>
        <w:tblLook w:val="04A0" w:firstRow="1" w:lastRow="0" w:firstColumn="1" w:lastColumn="0" w:noHBand="0" w:noVBand="1"/>
      </w:tblPr>
      <w:tblGrid>
        <w:gridCol w:w="880"/>
        <w:gridCol w:w="3827"/>
        <w:gridCol w:w="4536"/>
      </w:tblGrid>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ISIN код Еврооблигаций</w:t>
            </w:r>
          </w:p>
        </w:tc>
        <w:tc>
          <w:tcPr>
            <w:tcW w:w="4536"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Вид выплаты по Еврооблигациям</w:t>
            </w:r>
          </w:p>
        </w:tc>
        <w:tc>
          <w:tcPr>
            <w:tcW w:w="4536" w:type="dxa"/>
          </w:tcPr>
          <w:p w:rsidR="004A6643" w:rsidRPr="002776EA" w:rsidRDefault="004A6643" w:rsidP="004A6643">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Купонный (процентный) доход</w:t>
            </w:r>
          </w:p>
          <w:p w:rsidR="004A6643" w:rsidRPr="002776EA" w:rsidRDefault="004A6643" w:rsidP="004A6643">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Номинальная стоимость</w:t>
            </w:r>
          </w:p>
          <w:p w:rsidR="004A6643" w:rsidRPr="002776EA" w:rsidRDefault="004A6643" w:rsidP="004A6643">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Частичная номинальная стоимость</w:t>
            </w: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фиксации</w:t>
            </w:r>
          </w:p>
        </w:tc>
        <w:tc>
          <w:tcPr>
            <w:tcW w:w="4536"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выплаты</w:t>
            </w:r>
          </w:p>
        </w:tc>
        <w:tc>
          <w:tcPr>
            <w:tcW w:w="4536"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Количество Еврооблигаций (в штуках)</w:t>
            </w:r>
            <w:r w:rsidRPr="002776EA">
              <w:rPr>
                <w:rStyle w:val="a9"/>
                <w:rFonts w:ascii="Times New Roman" w:hAnsi="Times New Roman" w:cs="Times New Roman"/>
                <w:sz w:val="24"/>
                <w:szCs w:val="24"/>
              </w:rPr>
              <w:footnoteReference w:id="1"/>
            </w:r>
          </w:p>
        </w:tc>
        <w:tc>
          <w:tcPr>
            <w:tcW w:w="4536"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r>
      <w:tr w:rsidR="004A6643" w:rsidRPr="002776EA" w:rsidTr="005B2B36">
        <w:tc>
          <w:tcPr>
            <w:tcW w:w="9243" w:type="dxa"/>
            <w:gridSpan w:val="3"/>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Сведения, позволяющие идентифицировать Держателя</w:t>
            </w:r>
            <w:r w:rsidRPr="002776EA">
              <w:rPr>
                <w:rFonts w:ascii="Times New Roman" w:hAnsi="Times New Roman" w:cs="Times New Roman"/>
                <w:sz w:val="24"/>
                <w:szCs w:val="24"/>
              </w:rPr>
              <w:t xml:space="preserve"> </w:t>
            </w:r>
            <w:r w:rsidRPr="002776EA">
              <w:rPr>
                <w:rFonts w:ascii="Times New Roman" w:hAnsi="Times New Roman" w:cs="Times New Roman"/>
                <w:b/>
                <w:sz w:val="24"/>
                <w:szCs w:val="24"/>
              </w:rPr>
              <w:t>Еврооблигаций</w:t>
            </w: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Тип Держателя Еврооблигаций</w:t>
            </w:r>
          </w:p>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c>
          <w:tcPr>
            <w:tcW w:w="4536" w:type="dxa"/>
          </w:tcPr>
          <w:p w:rsidR="004A6643" w:rsidRPr="002776EA" w:rsidRDefault="004A6643" w:rsidP="004A6643">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 xml:space="preserve">владелец ценных бумаг </w:t>
            </w:r>
          </w:p>
          <w:p w:rsidR="004A6643" w:rsidRPr="002776EA" w:rsidRDefault="004A6643" w:rsidP="004A6643">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лицо, осуществляющее права по ценным бумагам</w:t>
            </w: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rsidR="004A6643" w:rsidRPr="002776EA" w:rsidRDefault="004A6643" w:rsidP="004A6643">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физическое лицо</w:t>
            </w:r>
          </w:p>
          <w:p w:rsidR="004A6643" w:rsidRPr="002776EA" w:rsidRDefault="004A6643" w:rsidP="004A6643">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юридическое лицо</w:t>
            </w:r>
          </w:p>
          <w:p w:rsidR="004A6643" w:rsidRPr="002776EA" w:rsidRDefault="004A6643" w:rsidP="004A6643">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иностранная структура, без образования юридического лица</w:t>
            </w: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Полное (краткое) наименование/ФИО Держателя Еврооблигаций</w:t>
            </w:r>
          </w:p>
        </w:tc>
        <w:tc>
          <w:tcPr>
            <w:tcW w:w="4536" w:type="dxa"/>
          </w:tcPr>
          <w:p w:rsidR="004A6643" w:rsidRPr="002776EA" w:rsidRDefault="004A6643"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rsidR="004A6643" w:rsidRPr="002776EA" w:rsidRDefault="004A6643"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Серия и/или номер документа, удостоверяющего личность физического </w:t>
            </w:r>
            <w:r w:rsidRPr="002776EA">
              <w:rPr>
                <w:rFonts w:ascii="Times New Roman" w:hAnsi="Times New Roman" w:cs="Times New Roman"/>
                <w:sz w:val="24"/>
                <w:szCs w:val="24"/>
              </w:rPr>
              <w:lastRenderedPageBreak/>
              <w:t>лица/регистрационный номер   юридического лица</w:t>
            </w:r>
          </w:p>
        </w:tc>
        <w:tc>
          <w:tcPr>
            <w:tcW w:w="4536" w:type="dxa"/>
          </w:tcPr>
          <w:p w:rsidR="004A6643" w:rsidRPr="002776EA" w:rsidRDefault="004A6643"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536" w:type="dxa"/>
          </w:tcPr>
          <w:p w:rsidR="004A6643" w:rsidRPr="002776EA" w:rsidRDefault="004A6643"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рождения Держателя - физического лица</w:t>
            </w:r>
          </w:p>
        </w:tc>
        <w:tc>
          <w:tcPr>
            <w:tcW w:w="4536" w:type="dxa"/>
          </w:tcPr>
          <w:p w:rsidR="004A6643" w:rsidRPr="002776EA" w:rsidRDefault="004A6643"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Наименование страны регистрации (гражданства /подданства) Держателя</w:t>
            </w:r>
            <w:r w:rsidRPr="002776EA">
              <w:rPr>
                <w:rFonts w:ascii="Times New Roman" w:hAnsi="Times New Roman" w:cs="Times New Roman"/>
                <w:sz w:val="24"/>
                <w:szCs w:val="24"/>
                <w:lang w:val="en-US"/>
              </w:rPr>
              <w:t> </w:t>
            </w:r>
            <w:r w:rsidRPr="002776EA">
              <w:rPr>
                <w:rFonts w:ascii="Times New Roman" w:hAnsi="Times New Roman" w:cs="Times New Roman"/>
                <w:sz w:val="24"/>
                <w:szCs w:val="24"/>
              </w:rPr>
              <w:t>Еврооблигаций</w:t>
            </w:r>
          </w:p>
        </w:tc>
        <w:tc>
          <w:tcPr>
            <w:tcW w:w="4536"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электронной почты для направления уведомлений (e-</w:t>
            </w:r>
            <w:proofErr w:type="spellStart"/>
            <w:r w:rsidRPr="002776EA">
              <w:rPr>
                <w:rFonts w:ascii="Times New Roman" w:hAnsi="Times New Roman" w:cs="Times New Roman"/>
                <w:sz w:val="24"/>
                <w:szCs w:val="24"/>
              </w:rPr>
              <w:t>mail</w:t>
            </w:r>
            <w:proofErr w:type="spellEnd"/>
            <w:r w:rsidRPr="002776EA">
              <w:rPr>
                <w:rFonts w:ascii="Times New Roman" w:hAnsi="Times New Roman" w:cs="Times New Roman"/>
                <w:sz w:val="24"/>
                <w:szCs w:val="24"/>
              </w:rPr>
              <w:t>)</w:t>
            </w:r>
          </w:p>
        </w:tc>
        <w:tc>
          <w:tcPr>
            <w:tcW w:w="4536"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Контактный телефон</w:t>
            </w:r>
          </w:p>
        </w:tc>
        <w:tc>
          <w:tcPr>
            <w:tcW w:w="4536"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r>
      <w:tr w:rsidR="004A6643" w:rsidRPr="002776EA" w:rsidTr="005B2B36">
        <w:tc>
          <w:tcPr>
            <w:tcW w:w="9243" w:type="dxa"/>
            <w:gridSpan w:val="3"/>
          </w:tcPr>
          <w:p w:rsidR="004A6643" w:rsidRPr="002776EA" w:rsidRDefault="004A6643" w:rsidP="005B2B36">
            <w:pPr>
              <w:tabs>
                <w:tab w:val="left" w:pos="1134"/>
                <w:tab w:val="left" w:pos="9356"/>
              </w:tabs>
              <w:ind w:right="-1"/>
              <w:jc w:val="both"/>
              <w:rPr>
                <w:rFonts w:ascii="Times New Roman" w:hAnsi="Times New Roman" w:cs="Times New Roman"/>
                <w:b/>
                <w:sz w:val="24"/>
                <w:szCs w:val="24"/>
              </w:rPr>
            </w:pPr>
            <w:r w:rsidRPr="002776EA">
              <w:rPr>
                <w:rFonts w:ascii="Times New Roman" w:hAnsi="Times New Roman" w:cs="Times New Roman"/>
                <w:b/>
                <w:sz w:val="24"/>
                <w:szCs w:val="24"/>
              </w:rPr>
              <w:t>Банковские реквизиты Держателя Еврооблигаций для перечисления выплат по Еврооблигациям</w:t>
            </w:r>
          </w:p>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i/>
                <w:sz w:val="24"/>
                <w:szCs w:val="24"/>
              </w:rPr>
              <w:t>(указываются реквизиты счета в российских рублях в российском или иностранном банке)</w:t>
            </w: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Наименование российского Банка Получателя           </w:t>
            </w:r>
          </w:p>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Банковский идентификационный код (БИК) банка Получателя (9 знаков)</w:t>
            </w:r>
          </w:p>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Город российского Банка Получателя</w:t>
            </w:r>
          </w:p>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Номер корреспондентского счета банка Получателя, открытый в подразделении Банка России (20 знаков) </w:t>
            </w:r>
          </w:p>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ИНН получателя средств, присвоенный российскими налоговыми органами                  </w:t>
            </w:r>
            <w:proofErr w:type="gramStart"/>
            <w:r w:rsidRPr="002776EA">
              <w:rPr>
                <w:rFonts w:ascii="Times New Roman" w:hAnsi="Times New Roman" w:cs="Times New Roman"/>
                <w:sz w:val="24"/>
                <w:szCs w:val="24"/>
              </w:rPr>
              <w:t xml:space="preserve">   (</w:t>
            </w:r>
            <w:proofErr w:type="gramEnd"/>
            <w:r w:rsidRPr="002776EA">
              <w:rPr>
                <w:rFonts w:ascii="Times New Roman" w:hAnsi="Times New Roman" w:cs="Times New Roman"/>
                <w:sz w:val="24"/>
                <w:szCs w:val="24"/>
              </w:rPr>
              <w:t xml:space="preserve">10 </w:t>
            </w:r>
            <w:r w:rsidRPr="002776EA">
              <w:rPr>
                <w:rFonts w:ascii="Times New Roman" w:hAnsi="Times New Roman" w:cs="Times New Roman"/>
                <w:sz w:val="24"/>
                <w:szCs w:val="24"/>
              </w:rPr>
              <w:lastRenderedPageBreak/>
              <w:t xml:space="preserve">знаков для ЮЛ или 12 знаков для ФЛ)    </w:t>
            </w:r>
          </w:p>
          <w:p w:rsidR="004A6643" w:rsidRPr="002776EA" w:rsidRDefault="004A6643" w:rsidP="005B2B36">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i/>
                <w:sz w:val="24"/>
                <w:szCs w:val="24"/>
              </w:rPr>
              <w:t>* </w:t>
            </w:r>
            <w:proofErr w:type="gramStart"/>
            <w:r w:rsidRPr="002776EA">
              <w:rPr>
                <w:rFonts w:ascii="Times New Roman" w:hAnsi="Times New Roman" w:cs="Times New Roman"/>
                <w:i/>
                <w:sz w:val="24"/>
                <w:szCs w:val="24"/>
              </w:rPr>
              <w:t>В</w:t>
            </w:r>
            <w:proofErr w:type="gramEnd"/>
            <w:r w:rsidRPr="002776EA">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(10 знаков для ЮЛ или 12 знаков для ФЛ)  </w:t>
            </w:r>
          </w:p>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Наименование Получателя (в соответствии с </w:t>
            </w:r>
            <w:proofErr w:type="gramStart"/>
            <w:r w:rsidRPr="002776EA">
              <w:rPr>
                <w:rFonts w:ascii="Times New Roman" w:hAnsi="Times New Roman" w:cs="Times New Roman"/>
                <w:sz w:val="24"/>
                <w:szCs w:val="24"/>
              </w:rPr>
              <w:t>Уставом)*</w:t>
            </w:r>
            <w:proofErr w:type="gramEnd"/>
            <w:r w:rsidRPr="002776EA">
              <w:rPr>
                <w:rFonts w:ascii="Times New Roman" w:hAnsi="Times New Roman" w:cs="Times New Roman"/>
                <w:sz w:val="24"/>
                <w:szCs w:val="24"/>
              </w:rPr>
              <w:t xml:space="preserve">                                            </w:t>
            </w:r>
          </w:p>
          <w:p w:rsidR="004A6643" w:rsidRPr="002776EA" w:rsidRDefault="004A6643" w:rsidP="005B2B36">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i/>
                <w:sz w:val="24"/>
                <w:szCs w:val="24"/>
              </w:rPr>
              <w:t xml:space="preserve">* </w:t>
            </w:r>
            <w:proofErr w:type="gramStart"/>
            <w:r w:rsidRPr="002776EA">
              <w:rPr>
                <w:rFonts w:ascii="Times New Roman" w:hAnsi="Times New Roman" w:cs="Times New Roman"/>
                <w:i/>
                <w:sz w:val="24"/>
                <w:szCs w:val="24"/>
              </w:rPr>
              <w:t>В</w:t>
            </w:r>
            <w:proofErr w:type="gramEnd"/>
            <w:r w:rsidRPr="002776EA">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то указывается наименование иностранного банка </w:t>
            </w:r>
          </w:p>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Счет получателя (</w:t>
            </w:r>
            <w:proofErr w:type="spellStart"/>
            <w:r w:rsidRPr="002776EA">
              <w:rPr>
                <w:rFonts w:ascii="Times New Roman" w:hAnsi="Times New Roman" w:cs="Times New Roman"/>
                <w:sz w:val="24"/>
                <w:szCs w:val="24"/>
              </w:rPr>
              <w:t>корр</w:t>
            </w:r>
            <w:proofErr w:type="spellEnd"/>
            <w:r w:rsidRPr="002776EA">
              <w:rPr>
                <w:rFonts w:ascii="Times New Roman" w:hAnsi="Times New Roman" w:cs="Times New Roman"/>
                <w:sz w:val="24"/>
                <w:szCs w:val="24"/>
              </w:rPr>
              <w:t xml:space="preserve">/с или р/с </w:t>
            </w:r>
            <w:proofErr w:type="gramStart"/>
            <w:r w:rsidRPr="002776EA">
              <w:rPr>
                <w:rFonts w:ascii="Times New Roman" w:hAnsi="Times New Roman" w:cs="Times New Roman"/>
                <w:sz w:val="24"/>
                <w:szCs w:val="24"/>
              </w:rPr>
              <w:t>Получателя)*</w:t>
            </w:r>
            <w:proofErr w:type="gramEnd"/>
          </w:p>
          <w:p w:rsidR="004A6643" w:rsidRPr="002776EA" w:rsidRDefault="004A6643" w:rsidP="005B2B36">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sz w:val="24"/>
                <w:szCs w:val="24"/>
              </w:rPr>
              <w:t xml:space="preserve"> </w:t>
            </w:r>
            <w:r w:rsidRPr="002776EA">
              <w:rPr>
                <w:rFonts w:ascii="Times New Roman" w:hAnsi="Times New Roman" w:cs="Times New Roman"/>
                <w:i/>
                <w:sz w:val="24"/>
                <w:szCs w:val="24"/>
              </w:rPr>
              <w:t xml:space="preserve">* </w:t>
            </w:r>
            <w:proofErr w:type="gramStart"/>
            <w:r w:rsidRPr="002776EA">
              <w:rPr>
                <w:rFonts w:ascii="Times New Roman" w:hAnsi="Times New Roman" w:cs="Times New Roman"/>
                <w:i/>
                <w:sz w:val="24"/>
                <w:szCs w:val="24"/>
              </w:rPr>
              <w:t>В</w:t>
            </w:r>
            <w:proofErr w:type="gramEnd"/>
            <w:r w:rsidRPr="002776EA">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rsidR="004A6643" w:rsidRPr="002776EA" w:rsidRDefault="004A6643" w:rsidP="005B2B36">
            <w:pPr>
              <w:tabs>
                <w:tab w:val="left" w:pos="1134"/>
                <w:tab w:val="left" w:pos="9356"/>
              </w:tabs>
              <w:ind w:right="-1"/>
              <w:jc w:val="both"/>
              <w:rPr>
                <w:rFonts w:ascii="Times New Roman" w:hAnsi="Times New Roman" w:cs="Times New Roman"/>
                <w:i/>
                <w:sz w:val="24"/>
                <w:szCs w:val="24"/>
              </w:rPr>
            </w:pPr>
          </w:p>
        </w:tc>
        <w:tc>
          <w:tcPr>
            <w:tcW w:w="4536" w:type="dxa"/>
          </w:tcPr>
          <w:p w:rsidR="004A6643" w:rsidRPr="002776EA" w:rsidRDefault="004A6643" w:rsidP="005B2B36">
            <w:pPr>
              <w:jc w:val="both"/>
              <w:rPr>
                <w:rFonts w:ascii="Times New Roman" w:hAnsi="Times New Roman" w:cs="Times New Roman"/>
                <w:sz w:val="24"/>
                <w:szCs w:val="24"/>
              </w:rPr>
            </w:pPr>
          </w:p>
        </w:tc>
      </w:tr>
      <w:tr w:rsidR="004A6643" w:rsidRPr="002776EA" w:rsidTr="005B2B36">
        <w:tc>
          <w:tcPr>
            <w:tcW w:w="9243" w:type="dxa"/>
            <w:gridSpan w:val="3"/>
          </w:tcPr>
          <w:p w:rsidR="004A6643" w:rsidRPr="002776EA" w:rsidRDefault="004A6643" w:rsidP="005B2B36">
            <w:pPr>
              <w:tabs>
                <w:tab w:val="left" w:pos="1134"/>
                <w:tab w:val="left" w:pos="9356"/>
              </w:tabs>
              <w:ind w:right="-1"/>
              <w:jc w:val="both"/>
              <w:rPr>
                <w:rFonts w:ascii="Times New Roman" w:hAnsi="Times New Roman" w:cs="Times New Roman"/>
                <w:b/>
                <w:sz w:val="24"/>
                <w:szCs w:val="24"/>
              </w:rPr>
            </w:pPr>
            <w:r w:rsidRPr="002776EA">
              <w:rPr>
                <w:rFonts w:ascii="Times New Roman" w:hAnsi="Times New Roman" w:cs="Times New Roman"/>
                <w:b/>
                <w:sz w:val="24"/>
                <w:szCs w:val="24"/>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p>
          <w:p w:rsidR="004A6643" w:rsidRPr="002776EA" w:rsidRDefault="004A6643" w:rsidP="005B2B36">
            <w:pPr>
              <w:tabs>
                <w:tab w:val="left" w:pos="1134"/>
                <w:tab w:val="left" w:pos="9356"/>
              </w:tabs>
              <w:ind w:right="-1"/>
              <w:rPr>
                <w:rFonts w:ascii="Times New Roman" w:hAnsi="Times New Roman" w:cs="Times New Roman"/>
                <w:sz w:val="24"/>
                <w:szCs w:val="24"/>
              </w:rPr>
            </w:pPr>
            <w:r w:rsidRPr="002776EA">
              <w:rPr>
                <w:rFonts w:ascii="Times New Roman" w:hAnsi="Times New Roman" w:cs="Times New Roman"/>
                <w:i/>
                <w:sz w:val="24"/>
                <w:szCs w:val="24"/>
              </w:rPr>
              <w:t>(повторяющийся блок для каждого Иностранного депозитария)</w:t>
            </w: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sz w:val="24"/>
                <w:szCs w:val="24"/>
              </w:rPr>
              <w:t>Полное наименование Иностранного депозитария</w:t>
            </w:r>
          </w:p>
        </w:tc>
        <w:tc>
          <w:tcPr>
            <w:tcW w:w="4536"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776EA" w:rsidRDefault="004A6643" w:rsidP="005B2B36">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sz w:val="24"/>
                <w:szCs w:val="24"/>
              </w:rPr>
              <w:t>Ссылка на страницу официального сайта уполномоченного органа</w:t>
            </w:r>
          </w:p>
        </w:tc>
        <w:tc>
          <w:tcPr>
            <w:tcW w:w="4536" w:type="dxa"/>
          </w:tcPr>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r>
      <w:tr w:rsidR="004A6643" w:rsidRPr="002776EA" w:rsidTr="005B2B36">
        <w:tc>
          <w:tcPr>
            <w:tcW w:w="9243" w:type="dxa"/>
            <w:gridSpan w:val="3"/>
          </w:tcPr>
          <w:p w:rsidR="004A6643" w:rsidRPr="00226684" w:rsidRDefault="004A6643" w:rsidP="005B2B36">
            <w:pPr>
              <w:tabs>
                <w:tab w:val="left" w:pos="1134"/>
                <w:tab w:val="left" w:pos="9356"/>
              </w:tabs>
              <w:ind w:right="-1"/>
              <w:jc w:val="both"/>
              <w:rPr>
                <w:rFonts w:ascii="Times New Roman" w:hAnsi="Times New Roman" w:cs="Times New Roman"/>
                <w:b/>
                <w:sz w:val="24"/>
                <w:szCs w:val="24"/>
              </w:rPr>
            </w:pPr>
          </w:p>
        </w:tc>
      </w:tr>
      <w:tr w:rsidR="004A6643" w:rsidRPr="002776EA" w:rsidTr="005B2B36">
        <w:tc>
          <w:tcPr>
            <w:tcW w:w="9243" w:type="dxa"/>
            <w:gridSpan w:val="3"/>
          </w:tcPr>
          <w:p w:rsidR="004A6643" w:rsidRPr="002776EA" w:rsidRDefault="004A6643" w:rsidP="005B2B36">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b/>
                <w:sz w:val="24"/>
                <w:szCs w:val="24"/>
              </w:rPr>
              <w:t xml:space="preserve">При предоставлении документов, идентифицирующих Держателя </w:t>
            </w:r>
            <w:r w:rsidRPr="002776EA">
              <w:rPr>
                <w:rFonts w:ascii="Times New Roman" w:hAnsi="Times New Roman" w:cs="Times New Roman"/>
                <w:b/>
                <w:sz w:val="24"/>
                <w:szCs w:val="24"/>
              </w:rPr>
              <w:t>Еврооблигаций</w:t>
            </w:r>
            <w:r w:rsidRPr="00226684">
              <w:rPr>
                <w:rFonts w:ascii="Times New Roman" w:hAnsi="Times New Roman" w:cs="Times New Roman"/>
                <w:b/>
                <w:sz w:val="24"/>
                <w:szCs w:val="24"/>
              </w:rPr>
              <w:t xml:space="preserve">, в порядке, предусмотренном пунктом </w:t>
            </w:r>
            <w:r w:rsidRPr="00226684">
              <w:rPr>
                <w:rFonts w:ascii="Times New Roman" w:hAnsi="Times New Roman" w:cs="Times New Roman"/>
                <w:b/>
                <w:sz w:val="24"/>
                <w:szCs w:val="24"/>
              </w:rPr>
              <w:fldChar w:fldCharType="begin"/>
            </w:r>
            <w:r w:rsidRPr="00226684">
              <w:rPr>
                <w:rFonts w:ascii="Times New Roman" w:hAnsi="Times New Roman" w:cs="Times New Roman"/>
                <w:b/>
                <w:sz w:val="24"/>
                <w:szCs w:val="24"/>
              </w:rPr>
              <w:instrText xml:space="preserve"> REF _Ref113009598 \r \h  \* MERGEFORMAT </w:instrText>
            </w:r>
            <w:r w:rsidRPr="00226684">
              <w:rPr>
                <w:rFonts w:ascii="Times New Roman" w:hAnsi="Times New Roman" w:cs="Times New Roman"/>
                <w:b/>
                <w:sz w:val="24"/>
                <w:szCs w:val="24"/>
              </w:rPr>
            </w:r>
            <w:r w:rsidRPr="00226684">
              <w:rPr>
                <w:rFonts w:ascii="Times New Roman" w:hAnsi="Times New Roman" w:cs="Times New Roman"/>
                <w:b/>
                <w:sz w:val="24"/>
                <w:szCs w:val="24"/>
              </w:rPr>
              <w:fldChar w:fldCharType="separate"/>
            </w:r>
            <w:r w:rsidRPr="00226684">
              <w:rPr>
                <w:rFonts w:ascii="Times New Roman" w:hAnsi="Times New Roman" w:cs="Times New Roman"/>
                <w:b/>
                <w:sz w:val="24"/>
                <w:szCs w:val="24"/>
              </w:rPr>
              <w:t>2.6</w:t>
            </w:r>
            <w:r w:rsidRPr="00226684">
              <w:rPr>
                <w:rFonts w:ascii="Times New Roman" w:hAnsi="Times New Roman" w:cs="Times New Roman"/>
                <w:b/>
                <w:sz w:val="24"/>
                <w:szCs w:val="24"/>
              </w:rPr>
              <w:fldChar w:fldCharType="end"/>
            </w:r>
            <w:r w:rsidRPr="00226684">
              <w:rPr>
                <w:rFonts w:ascii="Times New Roman" w:hAnsi="Times New Roman" w:cs="Times New Roman"/>
                <w:b/>
                <w:sz w:val="24"/>
                <w:szCs w:val="24"/>
              </w:rPr>
              <w:t xml:space="preserve"> Перечня</w:t>
            </w:r>
          </w:p>
        </w:tc>
      </w:tr>
      <w:tr w:rsidR="004A6643" w:rsidRPr="002776EA" w:rsidTr="005B2B36">
        <w:tc>
          <w:tcPr>
            <w:tcW w:w="880" w:type="dxa"/>
          </w:tcPr>
          <w:p w:rsidR="004A6643" w:rsidRPr="002776EA"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26684" w:rsidRDefault="004A6643" w:rsidP="005B2B36">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 xml:space="preserve">Документы, идентифицирующие Держателя </w:t>
            </w:r>
            <w:r w:rsidRPr="002776EA">
              <w:rPr>
                <w:rFonts w:ascii="Times New Roman" w:hAnsi="Times New Roman" w:cs="Times New Roman"/>
                <w:sz w:val="24"/>
                <w:szCs w:val="24"/>
              </w:rPr>
              <w:t>Еврооблигаций</w:t>
            </w:r>
            <w:r w:rsidRPr="00226684">
              <w:rPr>
                <w:rFonts w:ascii="Times New Roman" w:hAnsi="Times New Roman" w:cs="Times New Roman"/>
                <w:sz w:val="24"/>
                <w:szCs w:val="24"/>
              </w:rPr>
              <w:t xml:space="preserve">, предоставлены в НРД менее 1 (одного) года назад, изменения в указанных документах (в том числе в соответствующих Анкетах) отсутствуют </w:t>
            </w:r>
          </w:p>
        </w:tc>
        <w:tc>
          <w:tcPr>
            <w:tcW w:w="4536" w:type="dxa"/>
          </w:tcPr>
          <w:p w:rsidR="004A6643" w:rsidRPr="002776EA" w:rsidRDefault="004A6643" w:rsidP="004A6643">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p>
          <w:p w:rsidR="004A6643" w:rsidRPr="002776EA" w:rsidRDefault="004A6643" w:rsidP="005B2B36">
            <w:pPr>
              <w:tabs>
                <w:tab w:val="left" w:pos="1134"/>
                <w:tab w:val="left" w:pos="9356"/>
              </w:tabs>
              <w:ind w:right="-1"/>
              <w:jc w:val="both"/>
              <w:rPr>
                <w:rFonts w:ascii="Times New Roman" w:hAnsi="Times New Roman" w:cs="Times New Roman"/>
                <w:sz w:val="24"/>
                <w:szCs w:val="24"/>
              </w:rPr>
            </w:pPr>
          </w:p>
        </w:tc>
      </w:tr>
      <w:tr w:rsidR="004A6643" w:rsidRPr="002776EA" w:rsidTr="005B2B36">
        <w:tc>
          <w:tcPr>
            <w:tcW w:w="9243" w:type="dxa"/>
            <w:gridSpan w:val="3"/>
          </w:tcPr>
          <w:p w:rsidR="004A6643" w:rsidRPr="002776EA" w:rsidRDefault="004A6643" w:rsidP="005B2B36">
            <w:pPr>
              <w:tabs>
                <w:tab w:val="left" w:pos="6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w:t>
            </w:r>
          </w:p>
        </w:tc>
      </w:tr>
      <w:tr w:rsidR="004A6643" w:rsidRPr="002776EA" w:rsidTr="005B2B36">
        <w:tc>
          <w:tcPr>
            <w:tcW w:w="880" w:type="dxa"/>
          </w:tcPr>
          <w:p w:rsidR="004A6643" w:rsidRPr="002776EA" w:rsidDel="0009745B"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26684" w:rsidRDefault="004A6643" w:rsidP="005B2B36">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 xml:space="preserve">Возможные значения </w:t>
            </w:r>
          </w:p>
        </w:tc>
        <w:tc>
          <w:tcPr>
            <w:tcW w:w="4536" w:type="dxa"/>
          </w:tcPr>
          <w:p w:rsidR="004A6643" w:rsidRPr="002776EA" w:rsidRDefault="004A6643" w:rsidP="004A6643">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p>
          <w:p w:rsidR="004A6643" w:rsidRPr="002776EA" w:rsidRDefault="004A6643" w:rsidP="004A6643">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НЕТ</w:t>
            </w:r>
          </w:p>
        </w:tc>
      </w:tr>
      <w:tr w:rsidR="004A6643" w:rsidRPr="002776EA" w:rsidTr="005B2B36">
        <w:tc>
          <w:tcPr>
            <w:tcW w:w="9243" w:type="dxa"/>
            <w:gridSpan w:val="3"/>
          </w:tcPr>
          <w:p w:rsidR="004A6643" w:rsidRPr="002776EA" w:rsidRDefault="004A6643" w:rsidP="005B2B36">
            <w:pPr>
              <w:tabs>
                <w:tab w:val="left" w:pos="6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При предоставлении Держателем Еврооблигаций документов до вступления в силу изменений  в Приказ</w:t>
            </w:r>
          </w:p>
        </w:tc>
      </w:tr>
      <w:tr w:rsidR="004A6643" w:rsidRPr="002776EA" w:rsidTr="005B2B36">
        <w:tc>
          <w:tcPr>
            <w:tcW w:w="880" w:type="dxa"/>
          </w:tcPr>
          <w:p w:rsidR="004A6643" w:rsidRPr="002776EA" w:rsidDel="0009745B" w:rsidRDefault="004A6643" w:rsidP="004A6643">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4A6643" w:rsidRPr="00226684" w:rsidRDefault="004A6643" w:rsidP="005B2B36">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 xml:space="preserve">Документы для выплаты были предоставлены в НРД до вступления в силу изменений в Приказ </w:t>
            </w:r>
          </w:p>
        </w:tc>
        <w:tc>
          <w:tcPr>
            <w:tcW w:w="4536" w:type="dxa"/>
          </w:tcPr>
          <w:p w:rsidR="004A6643" w:rsidRPr="002776EA" w:rsidRDefault="004A6643" w:rsidP="004A6643">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p>
          <w:p w:rsidR="004A6643" w:rsidRPr="002776EA" w:rsidRDefault="004A6643" w:rsidP="005B2B36">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rsidR="004A6643" w:rsidRPr="002776EA" w:rsidRDefault="004A6643" w:rsidP="004A6643">
      <w:pPr>
        <w:tabs>
          <w:tab w:val="left" w:pos="1134"/>
          <w:tab w:val="left" w:pos="9356"/>
        </w:tabs>
        <w:ind w:left="851" w:right="-1" w:hanging="851"/>
        <w:jc w:val="both"/>
        <w:rPr>
          <w:rFonts w:ascii="Times New Roman" w:hAnsi="Times New Roman" w:cs="Times New Roman"/>
          <w:sz w:val="24"/>
          <w:szCs w:val="24"/>
        </w:rPr>
      </w:pPr>
      <w:r w:rsidRPr="002776EA">
        <w:rPr>
          <w:rFonts w:ascii="Times New Roman" w:hAnsi="Times New Roman" w:cs="Times New Roman"/>
          <w:sz w:val="24"/>
          <w:szCs w:val="24"/>
        </w:rPr>
        <w:t>Перечень прилагаемых документов:</w:t>
      </w:r>
    </w:p>
    <w:p w:rsidR="004A6643" w:rsidRPr="002776EA" w:rsidRDefault="004A6643" w:rsidP="004A6643">
      <w:pPr>
        <w:pStyle w:val="a7"/>
        <w:numPr>
          <w:ilvl w:val="0"/>
          <w:numId w:val="3"/>
        </w:numPr>
        <w:tabs>
          <w:tab w:val="left" w:pos="1134"/>
          <w:tab w:val="left" w:pos="9356"/>
        </w:tabs>
        <w:ind w:right="-1"/>
        <w:jc w:val="both"/>
        <w:rPr>
          <w:rFonts w:ascii="Times New Roman" w:hAnsi="Times New Roman" w:cs="Times New Roman"/>
          <w:sz w:val="24"/>
          <w:szCs w:val="24"/>
        </w:rPr>
      </w:pPr>
    </w:p>
    <w:p w:rsidR="004A6643" w:rsidRPr="002776EA" w:rsidRDefault="004A6643" w:rsidP="004A6643">
      <w:pPr>
        <w:pStyle w:val="a7"/>
        <w:numPr>
          <w:ilvl w:val="0"/>
          <w:numId w:val="3"/>
        </w:numPr>
        <w:tabs>
          <w:tab w:val="left" w:pos="1134"/>
          <w:tab w:val="left" w:pos="9356"/>
        </w:tabs>
        <w:ind w:right="-1"/>
        <w:jc w:val="both"/>
        <w:rPr>
          <w:rFonts w:ascii="Times New Roman" w:hAnsi="Times New Roman" w:cs="Times New Roman"/>
          <w:sz w:val="24"/>
          <w:szCs w:val="24"/>
        </w:rPr>
      </w:pPr>
    </w:p>
    <w:p w:rsidR="004A6643" w:rsidRPr="002776EA" w:rsidRDefault="004A6643" w:rsidP="004A6643">
      <w:pPr>
        <w:tabs>
          <w:tab w:val="left" w:pos="1134"/>
          <w:tab w:val="left" w:pos="9356"/>
        </w:tabs>
        <w:ind w:left="851" w:right="-1" w:hanging="85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4A6643" w:rsidRPr="002776EA" w:rsidTr="005B2B36">
        <w:tc>
          <w:tcPr>
            <w:tcW w:w="3546" w:type="dxa"/>
          </w:tcPr>
          <w:p w:rsidR="004A6643" w:rsidRPr="002776EA" w:rsidRDefault="004A6643" w:rsidP="005B2B36">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___________________________</w:t>
            </w:r>
          </w:p>
          <w:p w:rsidR="004A6643" w:rsidRPr="002776EA" w:rsidRDefault="004A6643" w:rsidP="005B2B36">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(должность</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ФИО)</w:t>
            </w:r>
          </w:p>
        </w:tc>
        <w:tc>
          <w:tcPr>
            <w:tcW w:w="2831" w:type="dxa"/>
          </w:tcPr>
          <w:p w:rsidR="004A6643" w:rsidRPr="002776EA" w:rsidRDefault="004A6643" w:rsidP="005B2B36">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t>_____________________</w:t>
            </w:r>
          </w:p>
          <w:p w:rsidR="004A6643" w:rsidRPr="002776EA" w:rsidRDefault="004A6643" w:rsidP="005B2B36">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(подпись)</w:t>
            </w:r>
          </w:p>
        </w:tc>
        <w:tc>
          <w:tcPr>
            <w:tcW w:w="2553" w:type="dxa"/>
          </w:tcPr>
          <w:p w:rsidR="004A6643" w:rsidRPr="002776EA" w:rsidRDefault="004A6643" w:rsidP="005B2B36">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___________________</w:t>
            </w:r>
          </w:p>
          <w:p w:rsidR="004A6643" w:rsidRPr="002776EA" w:rsidRDefault="004A6643" w:rsidP="005B2B36">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(дата)</w:t>
            </w:r>
            <w:r w:rsidRPr="002776EA">
              <w:rPr>
                <w:rStyle w:val="a9"/>
                <w:rFonts w:ascii="Times New Roman" w:hAnsi="Times New Roman" w:cs="Times New Roman"/>
                <w:sz w:val="24"/>
                <w:szCs w:val="24"/>
              </w:rPr>
              <w:footnoteReference w:id="2"/>
            </w:r>
          </w:p>
        </w:tc>
      </w:tr>
    </w:tbl>
    <w:p w:rsidR="000D0212" w:rsidRPr="004A6643" w:rsidRDefault="000D0212">
      <w:pPr>
        <w:rPr>
          <w:rFonts w:ascii="Times New Roman" w:hAnsi="Times New Roman" w:cs="Times New Roman"/>
          <w:sz w:val="24"/>
          <w:szCs w:val="24"/>
        </w:rPr>
      </w:pPr>
      <w:bookmarkStart w:id="0" w:name="_GoBack"/>
      <w:bookmarkEnd w:id="0"/>
    </w:p>
    <w:sectPr w:rsidR="000D0212" w:rsidRPr="004A66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643" w:rsidRDefault="004A6643" w:rsidP="004A6643">
      <w:pPr>
        <w:spacing w:after="0" w:line="240" w:lineRule="auto"/>
      </w:pPr>
      <w:r>
        <w:separator/>
      </w:r>
    </w:p>
  </w:endnote>
  <w:endnote w:type="continuationSeparator" w:id="0">
    <w:p w:rsidR="004A6643" w:rsidRDefault="004A6643" w:rsidP="004A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643" w:rsidRDefault="004A6643" w:rsidP="004A6643">
      <w:pPr>
        <w:spacing w:after="0" w:line="240" w:lineRule="auto"/>
      </w:pPr>
      <w:r>
        <w:separator/>
      </w:r>
    </w:p>
  </w:footnote>
  <w:footnote w:type="continuationSeparator" w:id="0">
    <w:p w:rsidR="004A6643" w:rsidRDefault="004A6643" w:rsidP="004A6643">
      <w:pPr>
        <w:spacing w:after="0" w:line="240" w:lineRule="auto"/>
      </w:pPr>
      <w:r>
        <w:continuationSeparator/>
      </w:r>
    </w:p>
  </w:footnote>
  <w:footnote w:id="1">
    <w:p w:rsidR="004A6643" w:rsidRPr="006608A6" w:rsidRDefault="004A6643" w:rsidP="004A6643">
      <w:pPr>
        <w:tabs>
          <w:tab w:val="left" w:pos="1134"/>
          <w:tab w:val="left" w:pos="9356"/>
        </w:tabs>
        <w:spacing w:after="0" w:line="240" w:lineRule="auto"/>
        <w:ind w:right="-1"/>
        <w:jc w:val="both"/>
        <w:rPr>
          <w:rFonts w:ascii="Times New Roman" w:hAnsi="Times New Roman" w:cs="Times New Roman"/>
          <w:sz w:val="20"/>
          <w:szCs w:val="20"/>
        </w:rPr>
      </w:pPr>
      <w:r>
        <w:rPr>
          <w:rStyle w:val="a9"/>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Еврооблигаций,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Еврооблигации</w:t>
      </w:r>
      <w:r w:rsidRPr="006608A6">
        <w:rPr>
          <w:rFonts w:ascii="Times New Roman" w:hAnsi="Times New Roman" w:cs="Times New Roman"/>
          <w:sz w:val="20"/>
          <w:szCs w:val="20"/>
        </w:rPr>
        <w:t>.</w:t>
      </w:r>
    </w:p>
    <w:p w:rsidR="004A6643" w:rsidRPr="00A06E55" w:rsidRDefault="004A6643" w:rsidP="004A6643">
      <w:pPr>
        <w:tabs>
          <w:tab w:val="left" w:pos="1134"/>
          <w:tab w:val="left" w:pos="9356"/>
        </w:tabs>
        <w:spacing w:after="0" w:line="240" w:lineRule="auto"/>
        <w:ind w:right="-1"/>
        <w:jc w:val="both"/>
        <w:rPr>
          <w:rFonts w:ascii="Times New Roman" w:hAnsi="Times New Roman" w:cs="Times New Roman"/>
          <w:sz w:val="24"/>
          <w:szCs w:val="24"/>
        </w:rPr>
      </w:pPr>
    </w:p>
    <w:p w:rsidR="004A6643" w:rsidRDefault="004A6643" w:rsidP="004A6643">
      <w:pPr>
        <w:pStyle w:val="a5"/>
      </w:pPr>
    </w:p>
  </w:footnote>
  <w:footnote w:id="2">
    <w:p w:rsidR="004A6643" w:rsidRPr="002278C4" w:rsidRDefault="004A6643" w:rsidP="004A6643">
      <w:pPr>
        <w:pStyle w:val="a5"/>
        <w:rPr>
          <w:rFonts w:ascii="Times New Roman" w:hAnsi="Times New Roman"/>
        </w:rPr>
      </w:pPr>
      <w:r w:rsidRPr="002278C4">
        <w:rPr>
          <w:rStyle w:val="a9"/>
          <w:rFonts w:ascii="Times New Roman" w:hAnsi="Times New Roman"/>
        </w:rPr>
        <w:footnoteRef/>
      </w:r>
      <w:r w:rsidRPr="002278C4">
        <w:rPr>
          <w:rFonts w:ascii="Times New Roman" w:hAnsi="Times New Roman"/>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B5"/>
    <w:rsid w:val="000A46B5"/>
    <w:rsid w:val="000D0212"/>
    <w:rsid w:val="004A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8A91"/>
  <w15:chartTrackingRefBased/>
  <w15:docId w15:val="{708032CC-420D-4FEE-B2D7-92F8DA5A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6643"/>
    <w:pPr>
      <w:spacing w:after="200" w:line="276" w:lineRule="auto"/>
    </w:pPr>
  </w:style>
  <w:style w:type="paragraph" w:styleId="1">
    <w:name w:val="heading 1"/>
    <w:basedOn w:val="a0"/>
    <w:next w:val="a0"/>
    <w:link w:val="10"/>
    <w:uiPriority w:val="9"/>
    <w:qFormat/>
    <w:rsid w:val="004A66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A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4A6643"/>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4A6643"/>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4A6643"/>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4A6643"/>
    <w:rPr>
      <w:rFonts w:eastAsiaTheme="minorEastAsia"/>
      <w:sz w:val="20"/>
      <w:szCs w:val="20"/>
    </w:rPr>
  </w:style>
  <w:style w:type="paragraph" w:customStyle="1" w:styleId="a">
    <w:name w:val="СтильСнежиной"/>
    <w:basedOn w:val="1"/>
    <w:qFormat/>
    <w:rsid w:val="004A6643"/>
    <w:pPr>
      <w:numPr>
        <w:numId w:val="1"/>
      </w:numPr>
      <w:spacing w:before="0" w:after="120" w:line="240" w:lineRule="auto"/>
    </w:pPr>
    <w:rPr>
      <w:rFonts w:ascii="Times New Roman" w:hAnsi="Times New Roman"/>
      <w:b/>
      <w:sz w:val="24"/>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4A6643"/>
    <w:rPr>
      <w:vertAlign w:val="superscript"/>
    </w:rPr>
  </w:style>
  <w:style w:type="character" w:customStyle="1" w:styleId="10">
    <w:name w:val="Заголовок 1 Знак"/>
    <w:basedOn w:val="a1"/>
    <w:link w:val="1"/>
    <w:uiPriority w:val="9"/>
    <w:rsid w:val="004A664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2023-07-12T14:07:00Z</dcterms:created>
  <dcterms:modified xsi:type="dcterms:W3CDTF">2023-07-12T14:08:00Z</dcterms:modified>
</cp:coreProperties>
</file>