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62" w:rsidRPr="005456CB" w:rsidRDefault="00C41062" w:rsidP="00C41062">
      <w:pPr>
        <w:spacing w:before="240"/>
        <w:rPr>
          <w:rFonts w:ascii="Tahoma" w:hAnsi="Tahoma" w:cs="Tahoma"/>
          <w:b/>
          <w:sz w:val="28"/>
          <w:szCs w:val="28"/>
          <w:lang w:val="en-US"/>
        </w:rPr>
      </w:pPr>
      <w:r w:rsidRPr="005456CB">
        <w:rPr>
          <w:rFonts w:ascii="Tahoma" w:hAnsi="Tahoma" w:cs="Tahoma"/>
          <w:b/>
          <w:sz w:val="28"/>
          <w:szCs w:val="28"/>
        </w:rPr>
        <w:t>Форма</w:t>
      </w:r>
      <w:r w:rsidRPr="005456CB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14.2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C41062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C41062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062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062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41062" w:rsidRPr="00DB448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062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62" w:rsidRPr="00DB448B" w:rsidRDefault="00C41062" w:rsidP="00C41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C41062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C41062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062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62" w:rsidRPr="00DB448B" w:rsidRDefault="00C41062" w:rsidP="00C41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C41062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41062" w:rsidRPr="005456CB" w:rsidRDefault="00C41062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062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C41062" w:rsidRPr="005456CB" w:rsidRDefault="00C41062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41062" w:rsidRPr="005456CB" w:rsidRDefault="00C41062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062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C41062" w:rsidRPr="005456CB" w:rsidRDefault="00C41062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41062" w:rsidRPr="005456CB" w:rsidRDefault="00C41062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C41062" w:rsidRPr="005456CB" w:rsidRDefault="00C41062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C41062" w:rsidRDefault="00C41062" w:rsidP="00C41062">
      <w:pPr>
        <w:jc w:val="center"/>
        <w:rPr>
          <w:rFonts w:ascii="Tahoma" w:hAnsi="Tahoma" w:cs="Tahoma"/>
          <w:b/>
          <w:sz w:val="28"/>
          <w:szCs w:val="28"/>
        </w:rPr>
      </w:pPr>
    </w:p>
    <w:p w:rsidR="00C41062" w:rsidRPr="005456CB" w:rsidRDefault="00C41062" w:rsidP="00C4106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14.2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Информация о</w:t>
      </w:r>
      <w:r w:rsidRPr="005456CB">
        <w:rPr>
          <w:rFonts w:ascii="Tahoma" w:hAnsi="Tahoma" w:cs="Tahoma"/>
          <w:b/>
          <w:sz w:val="28"/>
          <w:szCs w:val="28"/>
        </w:rPr>
        <w:t xml:space="preserve">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облигациям* 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258"/>
      </w:tblGrid>
      <w:tr w:rsidR="00C41062" w:rsidRPr="005456CB" w:rsidTr="00A159CA">
        <w:trPr>
          <w:trHeight w:val="805"/>
        </w:trPr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0" w:name="_Toc462933835"/>
            <w:r w:rsidRPr="003E6267">
              <w:rPr>
                <w:rFonts w:ascii="Tahoma" w:hAnsi="Tahoma" w:cs="Tahoma"/>
              </w:rPr>
              <w:t xml:space="preserve">Вид ценных бумаг (облигации), серия (при наличии) и иные указанные в решении о выпуске ценных бумаг </w:t>
            </w:r>
            <w:r>
              <w:rPr>
                <w:rFonts w:ascii="Tahoma" w:hAnsi="Tahoma" w:cs="Tahoma"/>
              </w:rPr>
              <w:t>и</w:t>
            </w:r>
            <w:r w:rsidRPr="005456CB">
              <w:rPr>
                <w:rFonts w:ascii="Tahoma" w:hAnsi="Tahoma" w:cs="Tahoma"/>
              </w:rPr>
              <w:t>дентификационные признаки облигаций, для исполнения обязанности по которым эмитент направляет денежные средства:</w:t>
            </w:r>
            <w:bookmarkEnd w:id="0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rPr>
                <w:rFonts w:ascii="Tahoma" w:hAnsi="Tahoma" w:cs="Tahoma"/>
              </w:rPr>
            </w:pPr>
          </w:p>
        </w:tc>
      </w:tr>
      <w:tr w:rsidR="00C41062" w:rsidRPr="005456CB" w:rsidTr="00A159CA">
        <w:trPr>
          <w:trHeight w:val="805"/>
        </w:trPr>
        <w:tc>
          <w:tcPr>
            <w:tcW w:w="7655" w:type="dxa"/>
            <w:shd w:val="clear" w:color="auto" w:fill="auto"/>
            <w:vAlign w:val="center"/>
          </w:tcPr>
          <w:p w:rsidR="00C41062" w:rsidRPr="003E6267" w:rsidRDefault="00C41062" w:rsidP="00A159CA">
            <w:pPr>
              <w:jc w:val="both"/>
              <w:rPr>
                <w:rFonts w:ascii="Tahoma" w:hAnsi="Tahoma" w:cs="Tahoma"/>
              </w:rPr>
            </w:pPr>
            <w:r w:rsidRPr="003E6267">
              <w:rPr>
                <w:rFonts w:ascii="Tahoma" w:hAnsi="Tahoma" w:cs="Tahoma"/>
              </w:rPr>
              <w:t>Лицо, осуществившее регистрацию выпуска облигаций (Банк России, регистрирующая организация):</w:t>
            </w:r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rPr>
                <w:rFonts w:ascii="Tahoma" w:hAnsi="Tahoma" w:cs="Tahoma"/>
              </w:rPr>
            </w:pPr>
          </w:p>
        </w:tc>
      </w:tr>
      <w:tr w:rsidR="00C41062" w:rsidRPr="005456CB" w:rsidTr="00A159CA">
        <w:trPr>
          <w:trHeight w:val="693"/>
        </w:trPr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1" w:name="_Toc462933836"/>
            <w:r w:rsidRPr="005456CB">
              <w:rPr>
                <w:rFonts w:ascii="Tahoma" w:hAnsi="Tahoma" w:cs="Tahoma"/>
              </w:rPr>
              <w:lastRenderedPageBreak/>
              <w:t>Номинальная стоимость (остаточная номинальная стоимость, если часть номинальной стоимости уже выплачена в связи с частичным погашением) каждой облигации, для исполнения обязанности по которой эмитент направляет денежные средства:</w:t>
            </w:r>
            <w:bookmarkEnd w:id="1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2" w:name="_Toc462933837"/>
            <w:r w:rsidRPr="005456CB">
              <w:rPr>
                <w:rFonts w:ascii="Tahoma" w:hAnsi="Tahoma" w:cs="Tahoma"/>
              </w:rPr>
              <w:t>Общее количество облигаций, для исполнения обязанности по которым эмитент направляет денежные средства:</w:t>
            </w:r>
            <w:bookmarkEnd w:id="2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3" w:name="_Toc462933838"/>
            <w:r w:rsidRPr="005456CB">
              <w:rPr>
                <w:rFonts w:ascii="Tahoma" w:hAnsi="Tahoma" w:cs="Tahoma"/>
              </w:rPr>
              <w:t>Содержание обязанности эмитента по облигациям, для исполнения которой эмитент направляет денежные средства (погашение облигаций, частичное погашение облигаций, выплата процентного (купонного) дохода по облигациям), а если такой обязанностью является выплата процентного (купонного) дохода по облигациям, – также процентный (купонный) период, за который осуществляется выплата дохода:</w:t>
            </w:r>
            <w:bookmarkEnd w:id="3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  <w:r w:rsidRPr="003E6267">
              <w:rPr>
                <w:rFonts w:ascii="Tahoma" w:hAnsi="Tahoma" w:cs="Tahoma"/>
              </w:rPr>
              <w:t xml:space="preserve"> </w:t>
            </w: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4" w:name="_Toc462933839"/>
            <w:r w:rsidRPr="005456CB">
              <w:rPr>
                <w:rFonts w:ascii="Tahoma" w:hAnsi="Tahoma" w:cs="Tahoma"/>
              </w:rPr>
              <w:t>Общий размер направляемых эмитентом денежных средств для исполнения обязанностей по облигациям:</w:t>
            </w:r>
            <w:bookmarkEnd w:id="4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5" w:name="_Toc462933840"/>
            <w:r w:rsidRPr="005456CB">
              <w:rPr>
                <w:rFonts w:ascii="Tahoma" w:hAnsi="Tahoma" w:cs="Tahoma"/>
              </w:rPr>
              <w:t>Размер денежных средств, подлежащих выплате в расчете на одну облигацию:</w:t>
            </w:r>
            <w:bookmarkEnd w:id="5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6" w:name="_Toc462933841"/>
            <w:r w:rsidRPr="005456CB">
              <w:rPr>
                <w:rFonts w:ascii="Tahoma" w:hAnsi="Tahoma" w:cs="Tahoma"/>
              </w:rPr>
              <w:t>Дата, на которую определяются лица, имеющие право на получение денежных средств, выплачиваемых в счет исполнения обязанности по облигациям, а если эмитент намеревается исполнить обязанность по погашению</w:t>
            </w:r>
            <w:r w:rsidRPr="003E6267">
              <w:rPr>
                <w:rFonts w:ascii="Tahoma" w:hAnsi="Tahoma" w:cs="Tahoma"/>
              </w:rPr>
              <w:t xml:space="preserve"> (частичному погашению)</w:t>
            </w:r>
            <w:r w:rsidRPr="005456CB">
              <w:rPr>
                <w:rFonts w:ascii="Tahoma" w:hAnsi="Tahoma" w:cs="Tahoma"/>
              </w:rPr>
              <w:t xml:space="preserve"> облигаций и</w:t>
            </w:r>
            <w:r w:rsidRPr="003E6267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или)</w:t>
            </w:r>
            <w:r w:rsidRPr="005456CB">
              <w:rPr>
                <w:rFonts w:ascii="Tahoma" w:hAnsi="Tahoma" w:cs="Tahoma"/>
              </w:rPr>
              <w:t xml:space="preserve"> выплате процентного (купонного дохода), которая в установленный срок не была исполнена или исполнена ненадлежащим образом, – порядок определения указанной даты:</w:t>
            </w:r>
            <w:bookmarkEnd w:id="6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rPr>
                <w:rFonts w:ascii="Tahoma" w:hAnsi="Tahoma" w:cs="Tahoma"/>
              </w:rPr>
            </w:pP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7" w:name="_Toc462933842"/>
            <w:r w:rsidRPr="005456CB">
              <w:rPr>
                <w:rFonts w:ascii="Tahoma" w:hAnsi="Tahoma" w:cs="Tahoma"/>
              </w:rPr>
              <w:lastRenderedPageBreak/>
              <w:t>Дата, на которую обязанность по облигациям должна быть исполнена, а в случае</w:t>
            </w:r>
            <w:r>
              <w:rPr>
                <w:rFonts w:ascii="Tahoma" w:hAnsi="Tahoma" w:cs="Tahoma"/>
              </w:rPr>
              <w:t>,</w:t>
            </w:r>
            <w:r w:rsidRPr="005456CB">
              <w:rPr>
                <w:rFonts w:ascii="Tahoma" w:hAnsi="Tahoma" w:cs="Tahoma"/>
              </w:rPr>
              <w:t xml:space="preserve"> если обязанность должна быть исполнена эмитентом в течение определенного срока (периода времени), – дата окончания этого срока:</w:t>
            </w:r>
            <w:bookmarkEnd w:id="7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bookmarkStart w:id="8" w:name="_Toc462933843"/>
            <w:r>
              <w:rPr>
                <w:rFonts w:ascii="Tahoma" w:hAnsi="Tahoma" w:cs="Tahoma"/>
              </w:rPr>
              <w:t>П</w:t>
            </w:r>
            <w:r w:rsidRPr="003E6267">
              <w:rPr>
                <w:rFonts w:ascii="Tahoma" w:hAnsi="Tahoma" w:cs="Tahoma"/>
              </w:rPr>
              <w:t>ричины ненадлежащего исполнения эмитентом обязанности по облигациям,</w:t>
            </w:r>
            <w:r w:rsidRPr="005456C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в</w:t>
            </w:r>
            <w:r w:rsidRPr="005456CB">
              <w:rPr>
                <w:rFonts w:ascii="Tahoma" w:hAnsi="Tahoma" w:cs="Tahoma"/>
              </w:rPr>
              <w:t xml:space="preserve"> случае если общий размер направляемых эмитентом денежных средств не позволяет исполнить обязанность по облигациям в полном объеме:</w:t>
            </w:r>
            <w:bookmarkEnd w:id="8"/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C41062" w:rsidRPr="005456CB" w:rsidTr="00A159CA">
        <w:tc>
          <w:tcPr>
            <w:tcW w:w="7655" w:type="dxa"/>
            <w:shd w:val="clear" w:color="auto" w:fill="auto"/>
            <w:vAlign w:val="center"/>
          </w:tcPr>
          <w:p w:rsidR="00C41062" w:rsidRPr="005456CB" w:rsidRDefault="00C41062" w:rsidP="00A159CA">
            <w:pPr>
              <w:jc w:val="both"/>
              <w:rPr>
                <w:rFonts w:ascii="Tahoma" w:hAnsi="Tahoma" w:cs="Tahoma"/>
              </w:rPr>
            </w:pPr>
            <w:r w:rsidRPr="003E6267">
              <w:rPr>
                <w:rFonts w:ascii="Tahoma" w:hAnsi="Tahoma" w:cs="Tahoma"/>
              </w:rPr>
              <w:t xml:space="preserve">В случае если выплаты владельцам облигаций от имени эмитента осуществляются третьим лицом, действующим на основании договора с эмитентом облигаций на оказание услуг по осуществлению таких выплат (далее - платежный агент), - полное и (или) сокращенное фирменные наименования (при наличии) (для коммерческой организации) либо наименование (для некоммерческой организации), место нахождения, адрес, идентификационный номер налогоплательщика (ИНН) (при наличии), основной государственный регистрационный номер (ОГРН) </w:t>
            </w:r>
            <w:r>
              <w:rPr>
                <w:rFonts w:ascii="Tahoma" w:hAnsi="Tahoma" w:cs="Tahoma"/>
              </w:rPr>
              <w:t>(при наличии) платежного агента:</w:t>
            </w:r>
          </w:p>
        </w:tc>
        <w:tc>
          <w:tcPr>
            <w:tcW w:w="7258" w:type="dxa"/>
            <w:shd w:val="clear" w:color="auto" w:fill="auto"/>
          </w:tcPr>
          <w:p w:rsidR="00C41062" w:rsidRPr="003E6267" w:rsidRDefault="00C41062" w:rsidP="00A159CA">
            <w:pPr>
              <w:rPr>
                <w:rFonts w:ascii="Tahoma" w:hAnsi="Tahoma" w:cs="Tahoma"/>
              </w:rPr>
            </w:pPr>
          </w:p>
        </w:tc>
      </w:tr>
    </w:tbl>
    <w:p w:rsidR="00C41062" w:rsidRPr="00837886" w:rsidRDefault="00C41062" w:rsidP="00C41062">
      <w:pPr>
        <w:spacing w:after="0"/>
        <w:ind w:left="142" w:right="14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37886">
        <w:rPr>
          <w:rFonts w:ascii="Tahoma" w:eastAsia="Times New Roman" w:hAnsi="Tahoma" w:cs="Tahoma"/>
          <w:sz w:val="20"/>
          <w:szCs w:val="20"/>
          <w:lang w:eastAsia="ru-RU"/>
        </w:rPr>
        <w:t>* Информация предоставляется:</w:t>
      </w:r>
    </w:p>
    <w:p w:rsidR="00C41062" w:rsidRPr="00837886" w:rsidRDefault="00C41062" w:rsidP="00C41062">
      <w:pPr>
        <w:pStyle w:val="a3"/>
        <w:numPr>
          <w:ilvl w:val="0"/>
          <w:numId w:val="2"/>
        </w:numPr>
        <w:spacing w:after="0"/>
        <w:ind w:left="567" w:right="141" w:hanging="283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37886">
        <w:rPr>
          <w:rFonts w:ascii="Tahoma" w:eastAsia="Times New Roman" w:hAnsi="Tahoma" w:cs="Tahoma"/>
          <w:sz w:val="20"/>
          <w:szCs w:val="20"/>
          <w:lang w:eastAsia="ru-RU"/>
        </w:rPr>
        <w:t>в отношении облигаций с централизованным учетом прав, к денежным выплатам по которым правила статьи 8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7 Закона о РЦБ не применяются; </w:t>
      </w:r>
    </w:p>
    <w:p w:rsidR="00C41062" w:rsidRPr="00837886" w:rsidRDefault="00C41062" w:rsidP="00C41062">
      <w:pPr>
        <w:pStyle w:val="a3"/>
        <w:numPr>
          <w:ilvl w:val="0"/>
          <w:numId w:val="2"/>
        </w:numPr>
        <w:spacing w:after="0"/>
        <w:ind w:left="567" w:right="141" w:hanging="283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в отношении облигаций с обязательным централизованным хранением – с учетом положений </w:t>
      </w:r>
      <w:hyperlink r:id="rId5" w:history="1">
        <w:r w:rsidRPr="00837886">
          <w:rPr>
            <w:rFonts w:ascii="Tahoma" w:eastAsia="Times New Roman" w:hAnsi="Tahoma" w:cs="Tahoma"/>
            <w:sz w:val="20"/>
            <w:szCs w:val="20"/>
            <w:lang w:eastAsia="ru-RU"/>
          </w:rPr>
          <w:t>пунктов 6</w:t>
        </w:r>
      </w:hyperlink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 и </w:t>
      </w:r>
      <w:hyperlink r:id="rId6" w:history="1">
        <w:r w:rsidRPr="00837886">
          <w:rPr>
            <w:rFonts w:ascii="Tahoma" w:eastAsia="Times New Roman" w:hAnsi="Tahoma" w:cs="Tahoma"/>
            <w:sz w:val="20"/>
            <w:szCs w:val="20"/>
            <w:lang w:eastAsia="ru-RU"/>
          </w:rPr>
          <w:t>7 статьи 24</w:t>
        </w:r>
      </w:hyperlink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 Федерального закона от 27 декабря 2018 года № 514-ФЗ «О внесении изменений в Федеральный закон «О рынке ценных бумаг» и отдельные законодательные акты Российской Федерации в части совершенствования правового регулирования осуществления эмиссии ценных бумаг».</w:t>
      </w:r>
    </w:p>
    <w:p w:rsidR="00007DD6" w:rsidRDefault="00007DD6">
      <w:bookmarkStart w:id="9" w:name="_GoBack"/>
      <w:bookmarkEnd w:id="9"/>
    </w:p>
    <w:sectPr w:rsidR="00007DD6" w:rsidSect="00C41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E35"/>
    <w:multiLevelType w:val="hybridMultilevel"/>
    <w:tmpl w:val="DC729BD2"/>
    <w:lvl w:ilvl="0" w:tplc="04190001">
      <w:start w:val="1"/>
      <w:numFmt w:val="bullet"/>
      <w:lvlText w:val=""/>
      <w:lvlJc w:val="left"/>
      <w:pPr>
        <w:ind w:left="12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594" w:hanging="360"/>
      </w:pPr>
      <w:rPr>
        <w:rFonts w:ascii="Wingdings" w:hAnsi="Wingdings" w:hint="default"/>
      </w:rPr>
    </w:lvl>
  </w:abstractNum>
  <w:abstractNum w:abstractNumId="1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62"/>
    <w:rsid w:val="00007DD6"/>
    <w:rsid w:val="00C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69FE7-408C-48C7-9A63-9E7BB0E9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C41062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C410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24A770582E2495A700754F57B51BF577EE0A58D911C7D7768CF01EC47DD2AEB2410BCBB88989D9889070E95E8026E4B26F179424BDB077fAf7J" TargetMode="External"/><Relationship Id="rId5" Type="http://schemas.openxmlformats.org/officeDocument/2006/relationships/hyperlink" Target="consultantplus://offline/ref=C724A770582E2495A700754F57B51BF577EE0A58D911C7D7768CF01EC47DD2AEB2410BCBB88989D98B9070E95E8026E4B26F179424BDB077fAf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2021-09-27T20:06:00Z</dcterms:created>
  <dcterms:modified xsi:type="dcterms:W3CDTF">2021-09-27T20:06:00Z</dcterms:modified>
</cp:coreProperties>
</file>