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1FE" w:rsidRPr="00AA741C" w:rsidRDefault="008845F6" w:rsidP="00AA741C">
      <w:pPr>
        <w:spacing w:after="0"/>
        <w:jc w:val="center"/>
        <w:rPr>
          <w:b/>
        </w:rPr>
      </w:pPr>
      <w:r w:rsidRPr="00AA741C">
        <w:rPr>
          <w:b/>
        </w:rPr>
        <w:t>Перечень</w:t>
      </w:r>
      <w:r w:rsidR="003705B6" w:rsidRPr="00AA741C">
        <w:rPr>
          <w:b/>
        </w:rPr>
        <w:t xml:space="preserve"> сообщений</w:t>
      </w:r>
      <w:r w:rsidRPr="00AA741C">
        <w:rPr>
          <w:b/>
        </w:rPr>
        <w:t xml:space="preserve"> </w:t>
      </w:r>
      <w:r w:rsidR="003C0E1A" w:rsidRPr="00AA741C">
        <w:rPr>
          <w:b/>
        </w:rPr>
        <w:t xml:space="preserve">формата </w:t>
      </w:r>
      <w:r w:rsidR="003C0E1A" w:rsidRPr="00AA741C">
        <w:rPr>
          <w:b/>
          <w:lang w:val="en-US"/>
        </w:rPr>
        <w:t>ISO </w:t>
      </w:r>
      <w:r w:rsidR="003C0E1A" w:rsidRPr="00AA741C">
        <w:rPr>
          <w:b/>
        </w:rPr>
        <w:t xml:space="preserve">20022 </w:t>
      </w:r>
      <w:r w:rsidRPr="00AA741C">
        <w:rPr>
          <w:b/>
        </w:rPr>
        <w:t xml:space="preserve">для </w:t>
      </w:r>
      <w:r w:rsidR="00E92921" w:rsidRPr="00AA741C">
        <w:rPr>
          <w:b/>
        </w:rPr>
        <w:t>корпоративн</w:t>
      </w:r>
      <w:r w:rsidR="008674F1">
        <w:rPr>
          <w:b/>
        </w:rPr>
        <w:t>ых действий</w:t>
      </w:r>
      <w:r w:rsidR="00E92921" w:rsidRPr="00AA741C">
        <w:rPr>
          <w:b/>
        </w:rPr>
        <w:t xml:space="preserve"> </w:t>
      </w:r>
      <w:r w:rsidR="008674F1">
        <w:rPr>
          <w:b/>
          <w:lang w:val="en-US"/>
        </w:rPr>
        <w:t>MEET</w:t>
      </w:r>
      <w:r w:rsidR="008674F1" w:rsidRPr="008674F1">
        <w:rPr>
          <w:b/>
        </w:rPr>
        <w:t xml:space="preserve">, </w:t>
      </w:r>
      <w:r w:rsidR="008674F1">
        <w:rPr>
          <w:b/>
          <w:lang w:val="en-US"/>
        </w:rPr>
        <w:t>XMET</w:t>
      </w:r>
      <w:r w:rsidR="008674F1" w:rsidRPr="008674F1">
        <w:rPr>
          <w:b/>
        </w:rPr>
        <w:t xml:space="preserve">, </w:t>
      </w:r>
      <w:r w:rsidRPr="00AA741C">
        <w:rPr>
          <w:b/>
          <w:lang w:val="en-US"/>
        </w:rPr>
        <w:t>BMET</w:t>
      </w:r>
    </w:p>
    <w:p w:rsidR="00F317C3" w:rsidRPr="00AB7838" w:rsidRDefault="00F317C3" w:rsidP="00735688">
      <w:pPr>
        <w:spacing w:after="0"/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416"/>
        <w:gridCol w:w="2560"/>
        <w:gridCol w:w="7598"/>
      </w:tblGrid>
      <w:tr w:rsidR="00F317C3" w:rsidRPr="00F317C3" w:rsidTr="00F317C3">
        <w:tc>
          <w:tcPr>
            <w:tcW w:w="442" w:type="dxa"/>
          </w:tcPr>
          <w:p w:rsidR="00F317C3" w:rsidRPr="00F317C3" w:rsidRDefault="00F317C3" w:rsidP="00F317C3">
            <w:pPr>
              <w:jc w:val="center"/>
              <w:rPr>
                <w:b/>
                <w:sz w:val="16"/>
                <w:szCs w:val="16"/>
              </w:rPr>
            </w:pPr>
            <w:r w:rsidRPr="00F317C3"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3102" w:type="dxa"/>
          </w:tcPr>
          <w:p w:rsidR="00F317C3" w:rsidRPr="00F317C3" w:rsidRDefault="00F317C3" w:rsidP="00F317C3">
            <w:pPr>
              <w:jc w:val="center"/>
              <w:rPr>
                <w:b/>
                <w:sz w:val="16"/>
                <w:szCs w:val="16"/>
              </w:rPr>
            </w:pPr>
            <w:r w:rsidRPr="00F317C3">
              <w:rPr>
                <w:b/>
                <w:sz w:val="16"/>
                <w:szCs w:val="16"/>
              </w:rPr>
              <w:t>Наименование сообщения</w:t>
            </w:r>
          </w:p>
        </w:tc>
        <w:tc>
          <w:tcPr>
            <w:tcW w:w="6525" w:type="dxa"/>
          </w:tcPr>
          <w:p w:rsidR="00F317C3" w:rsidRPr="00F317C3" w:rsidRDefault="00F317C3" w:rsidP="00F317C3">
            <w:pPr>
              <w:jc w:val="center"/>
              <w:rPr>
                <w:b/>
                <w:sz w:val="16"/>
                <w:szCs w:val="16"/>
              </w:rPr>
            </w:pPr>
            <w:r w:rsidRPr="00F317C3">
              <w:rPr>
                <w:b/>
                <w:sz w:val="16"/>
                <w:szCs w:val="16"/>
              </w:rPr>
              <w:t>Назначение сообщения</w:t>
            </w:r>
          </w:p>
        </w:tc>
      </w:tr>
      <w:tr w:rsidR="00F317C3" w:rsidRPr="00F317C3" w:rsidTr="00F317C3">
        <w:tc>
          <w:tcPr>
            <w:tcW w:w="442" w:type="dxa"/>
          </w:tcPr>
          <w:p w:rsidR="00F317C3" w:rsidRPr="00F317C3" w:rsidRDefault="00F317C3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3102" w:type="dxa"/>
          </w:tcPr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Сообщение об отмене собрания / </w:t>
            </w:r>
            <w:proofErr w:type="spellStart"/>
            <w:r w:rsidRPr="00F317C3">
              <w:rPr>
                <w:sz w:val="16"/>
                <w:szCs w:val="16"/>
                <w:lang w:val="en-US"/>
              </w:rPr>
              <w:t>MeetingCancellation</w:t>
            </w:r>
            <w:proofErr w:type="spellEnd"/>
            <w:r w:rsidRPr="00F317C3">
              <w:rPr>
                <w:sz w:val="16"/>
                <w:szCs w:val="16"/>
              </w:rPr>
              <w:t xml:space="preserve"> (</w:t>
            </w:r>
            <w:proofErr w:type="spellStart"/>
            <w:r w:rsidRPr="00F317C3">
              <w:rPr>
                <w:sz w:val="16"/>
                <w:szCs w:val="16"/>
                <w:lang w:val="en-US"/>
              </w:rPr>
              <w:t>seev</w:t>
            </w:r>
            <w:proofErr w:type="spellEnd"/>
            <w:r w:rsidRPr="00F317C3">
              <w:rPr>
                <w:sz w:val="16"/>
                <w:szCs w:val="16"/>
              </w:rPr>
              <w:t>.002.001.04)</w:t>
            </w:r>
          </w:p>
        </w:tc>
        <w:tc>
          <w:tcPr>
            <w:tcW w:w="6525" w:type="dxa"/>
          </w:tcPr>
          <w:p w:rsidR="00F317C3" w:rsidRDefault="00F317C3" w:rsidP="00F317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Область применения</w:t>
            </w:r>
          </w:p>
          <w:p w:rsid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Сообщение об отмене собрания направляется стороной, которая направила Сообщение о проведении общего собрания первоначальному получателю. Оно направляется для отмены предыдущего Сообщения о проведении общего собрания или для </w:t>
            </w:r>
            <w:r>
              <w:rPr>
                <w:sz w:val="16"/>
                <w:szCs w:val="16"/>
              </w:rPr>
              <w:t>уведомления об отмене собрания.</w:t>
            </w:r>
            <w:bookmarkStart w:id="0" w:name="_GoBack"/>
            <w:bookmarkEnd w:id="0"/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Сообщение об отмене собрания используется в двух различных ситуациях. Во-первых, оно используется для отмены предыдущего Сообщения о проведении общего собрания. В этом случае, в сообщении должны быть заполнены блоки Отменяемое сообщение (</w:t>
            </w:r>
            <w:proofErr w:type="spellStart"/>
            <w:r w:rsidRPr="00F317C3">
              <w:rPr>
                <w:sz w:val="16"/>
                <w:szCs w:val="16"/>
              </w:rPr>
              <w:t>MessageCancellation</w:t>
            </w:r>
            <w:proofErr w:type="spellEnd"/>
            <w:r w:rsidRPr="00F317C3">
              <w:rPr>
                <w:sz w:val="16"/>
                <w:szCs w:val="16"/>
              </w:rPr>
              <w:t xml:space="preserve">), </w:t>
            </w:r>
            <w:proofErr w:type="spellStart"/>
            <w:r w:rsidRPr="00F317C3">
              <w:rPr>
                <w:sz w:val="16"/>
                <w:szCs w:val="16"/>
              </w:rPr>
              <w:t>Референс</w:t>
            </w:r>
            <w:proofErr w:type="spellEnd"/>
            <w:r w:rsidRPr="00F317C3">
              <w:rPr>
                <w:sz w:val="16"/>
                <w:szCs w:val="16"/>
              </w:rPr>
              <w:t xml:space="preserve"> собрания (</w:t>
            </w:r>
            <w:proofErr w:type="spellStart"/>
            <w:r w:rsidRPr="00F317C3">
              <w:rPr>
                <w:sz w:val="16"/>
                <w:szCs w:val="16"/>
              </w:rPr>
              <w:t>MeetingReference</w:t>
            </w:r>
            <w:proofErr w:type="spellEnd"/>
            <w:r w:rsidRPr="00F317C3">
              <w:rPr>
                <w:sz w:val="16"/>
                <w:szCs w:val="16"/>
              </w:rPr>
              <w:t>) и Причина (</w:t>
            </w:r>
            <w:proofErr w:type="spellStart"/>
            <w:r w:rsidRPr="00F317C3">
              <w:rPr>
                <w:sz w:val="16"/>
                <w:szCs w:val="16"/>
              </w:rPr>
              <w:t>Reason</w:t>
            </w:r>
            <w:proofErr w:type="spellEnd"/>
            <w:r w:rsidRPr="00F317C3">
              <w:rPr>
                <w:sz w:val="16"/>
                <w:szCs w:val="16"/>
              </w:rPr>
              <w:t xml:space="preserve">). Во-вторых, сообщение используется для уведомления о том, что собрание отменено. В этом случае должны быть заполнены только следующие блоки сообщения: </w:t>
            </w:r>
            <w:proofErr w:type="spellStart"/>
            <w:r w:rsidRPr="00F317C3">
              <w:rPr>
                <w:sz w:val="16"/>
                <w:szCs w:val="16"/>
              </w:rPr>
              <w:t>Референс</w:t>
            </w:r>
            <w:proofErr w:type="spellEnd"/>
            <w:r w:rsidRPr="00F317C3">
              <w:rPr>
                <w:sz w:val="16"/>
                <w:szCs w:val="16"/>
              </w:rPr>
              <w:t xml:space="preserve"> собрания (</w:t>
            </w:r>
            <w:proofErr w:type="spellStart"/>
            <w:r w:rsidRPr="00F317C3">
              <w:rPr>
                <w:sz w:val="16"/>
                <w:szCs w:val="16"/>
              </w:rPr>
              <w:t>MeetingReference</w:t>
            </w:r>
            <w:proofErr w:type="spellEnd"/>
            <w:r w:rsidRPr="00F317C3">
              <w:rPr>
                <w:sz w:val="16"/>
                <w:szCs w:val="16"/>
              </w:rPr>
              <w:t>) и Причина (</w:t>
            </w:r>
            <w:proofErr w:type="spellStart"/>
            <w:r w:rsidRPr="00F317C3">
              <w:rPr>
                <w:sz w:val="16"/>
                <w:szCs w:val="16"/>
              </w:rPr>
              <w:t>Reason</w:t>
            </w:r>
            <w:proofErr w:type="spellEnd"/>
            <w:r w:rsidRPr="00F317C3">
              <w:rPr>
                <w:sz w:val="16"/>
                <w:szCs w:val="16"/>
              </w:rPr>
              <w:t>).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CA021 Сообщение об отмене ОСА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Сообщение об отмене ОСА используется в двух различных ситуациях.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1. Используется для отмены высланного ранее сообщения о проведении ОСА. В данном случае в структуре должны присутствовать блоки "Отмена сообщения", "Ссылка </w:t>
            </w:r>
            <w:proofErr w:type="gramStart"/>
            <w:r w:rsidRPr="00F317C3">
              <w:rPr>
                <w:sz w:val="16"/>
                <w:szCs w:val="16"/>
              </w:rPr>
              <w:t>на</w:t>
            </w:r>
            <w:proofErr w:type="gramEnd"/>
            <w:r w:rsidRPr="00F317C3">
              <w:rPr>
                <w:sz w:val="16"/>
                <w:szCs w:val="16"/>
              </w:rPr>
              <w:t xml:space="preserve"> </w:t>
            </w:r>
            <w:proofErr w:type="gramStart"/>
            <w:r w:rsidRPr="00F317C3">
              <w:rPr>
                <w:sz w:val="16"/>
                <w:szCs w:val="16"/>
              </w:rPr>
              <w:t>ОСА</w:t>
            </w:r>
            <w:proofErr w:type="gramEnd"/>
            <w:r w:rsidRPr="00F317C3">
              <w:rPr>
                <w:sz w:val="16"/>
                <w:szCs w:val="16"/>
              </w:rPr>
              <w:t>" и "Причина".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2. Используется для отмены самого ОСА. В данном случае необходимо присутствие блоков "Ссылка </w:t>
            </w:r>
            <w:proofErr w:type="gramStart"/>
            <w:r w:rsidRPr="00F317C3">
              <w:rPr>
                <w:sz w:val="16"/>
                <w:szCs w:val="16"/>
              </w:rPr>
              <w:t>на</w:t>
            </w:r>
            <w:proofErr w:type="gramEnd"/>
            <w:r w:rsidRPr="00F317C3">
              <w:rPr>
                <w:sz w:val="16"/>
                <w:szCs w:val="16"/>
              </w:rPr>
              <w:t xml:space="preserve"> </w:t>
            </w:r>
            <w:proofErr w:type="gramStart"/>
            <w:r w:rsidRPr="00F317C3">
              <w:rPr>
                <w:sz w:val="16"/>
                <w:szCs w:val="16"/>
              </w:rPr>
              <w:t>ОСА</w:t>
            </w:r>
            <w:proofErr w:type="gramEnd"/>
            <w:r w:rsidRPr="00F317C3">
              <w:rPr>
                <w:sz w:val="16"/>
                <w:szCs w:val="16"/>
              </w:rPr>
              <w:t>" и "Причина".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3. Используется для указания на отсутствие кворума по собранию в целом – в этом случае направляем </w:t>
            </w:r>
            <w:proofErr w:type="spellStart"/>
            <w:r w:rsidRPr="00F317C3">
              <w:rPr>
                <w:sz w:val="16"/>
                <w:szCs w:val="16"/>
              </w:rPr>
              <w:t>MeetingCancellation</w:t>
            </w:r>
            <w:proofErr w:type="spellEnd"/>
            <w:r w:rsidRPr="00F317C3">
              <w:rPr>
                <w:sz w:val="16"/>
                <w:szCs w:val="16"/>
              </w:rPr>
              <w:t xml:space="preserve"> с указанием причины </w:t>
            </w:r>
            <w:proofErr w:type="spellStart"/>
            <w:r w:rsidRPr="00F317C3">
              <w:rPr>
                <w:sz w:val="16"/>
                <w:szCs w:val="16"/>
              </w:rPr>
              <w:t>MeetingCancellation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Document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MtgCxl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Rsn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CxlRsnCd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Cd</w:t>
            </w:r>
            <w:proofErr w:type="spellEnd"/>
            <w:r w:rsidRPr="00F317C3">
              <w:rPr>
                <w:sz w:val="16"/>
                <w:szCs w:val="16"/>
              </w:rPr>
              <w:t>=QORM (Отмена в связи с отсутствием кворума при голосовании.)</w:t>
            </w:r>
          </w:p>
        </w:tc>
      </w:tr>
      <w:tr w:rsidR="00F317C3" w:rsidRPr="00F317C3" w:rsidTr="00F317C3">
        <w:tc>
          <w:tcPr>
            <w:tcW w:w="442" w:type="dxa"/>
          </w:tcPr>
          <w:p w:rsidR="00F317C3" w:rsidRPr="00F317C3" w:rsidRDefault="00F317C3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3102" w:type="dxa"/>
          </w:tcPr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Инструкция для участия в собрании / 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 xml:space="preserve"> (seev.004.001.04)</w:t>
            </w:r>
          </w:p>
        </w:tc>
        <w:tc>
          <w:tcPr>
            <w:tcW w:w="6525" w:type="dxa"/>
          </w:tcPr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Область применения Сторона, имеющая право на голосование, направляет сообщение 'Инструкция для участия в собрании' посреднику, эмитенту или его агенту для указания принимающей стороне действовать в соответствии с одной или несколькими инструкциями. Использование Сообщение Инструкция для участия в собрании используется для регистрации на собрании держателей ценных бумаг, запроса блокировки или регистрации ценных бумаг. Оно используется для назначения уполномоченного представителя, указания имени участника собрания и для передачи инструкции на голосование в электронном виде. Сообщение Инструкция для участия в собрании может быть отправлено только по одной ценной бумаге, хотя может быть определено несколько мест хранения. После отправки сообщения оно не может быть изменено. Оно должно отменяться через сообщение </w:t>
            </w:r>
            <w:proofErr w:type="spellStart"/>
            <w:r w:rsidRPr="00F317C3">
              <w:rPr>
                <w:sz w:val="16"/>
                <w:szCs w:val="16"/>
              </w:rPr>
              <w:t>MeetingInstructionCancellationRequest</w:t>
            </w:r>
            <w:proofErr w:type="spellEnd"/>
            <w:r w:rsidRPr="00F317C3">
              <w:rPr>
                <w:sz w:val="16"/>
                <w:szCs w:val="16"/>
              </w:rPr>
              <w:t xml:space="preserve">. Новое сообщение Инструкция для участия в собрании может быть отправлено только после получения подтверждения статуса отмены в сообщении </w:t>
            </w:r>
            <w:proofErr w:type="spellStart"/>
            <w:r w:rsidRPr="00F317C3">
              <w:rPr>
                <w:sz w:val="16"/>
                <w:szCs w:val="16"/>
              </w:rPr>
              <w:t>MeetingInstructionStatus</w:t>
            </w:r>
            <w:proofErr w:type="spellEnd"/>
            <w:r w:rsidRPr="00F317C3">
              <w:rPr>
                <w:sz w:val="16"/>
                <w:szCs w:val="16"/>
              </w:rPr>
              <w:t>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CA041 Документ о голосовании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Документ о голосовании владельцев используется для направления инструкций по голосованию в электронном виде.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CA042 Список раскрывшихся, но не голосовавших владельцев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Документ со списком иностранных владельцев </w:t>
            </w:r>
            <w:proofErr w:type="gramStart"/>
            <w:r w:rsidRPr="00F317C3">
              <w:rPr>
                <w:sz w:val="16"/>
                <w:szCs w:val="16"/>
              </w:rPr>
              <w:t>от</w:t>
            </w:r>
            <w:proofErr w:type="gramEnd"/>
            <w:r w:rsidRPr="00F317C3">
              <w:rPr>
                <w:sz w:val="16"/>
                <w:szCs w:val="16"/>
              </w:rPr>
              <w:t xml:space="preserve"> ИНД, раскрывшихся, но не голосовавших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CA043 Список </w:t>
            </w:r>
            <w:proofErr w:type="gramStart"/>
            <w:r w:rsidRPr="00F317C3">
              <w:rPr>
                <w:sz w:val="16"/>
                <w:szCs w:val="16"/>
              </w:rPr>
              <w:t>нераскрывшихся</w:t>
            </w:r>
            <w:proofErr w:type="gramEnd"/>
            <w:r w:rsidRPr="00F317C3">
              <w:rPr>
                <w:sz w:val="16"/>
                <w:szCs w:val="16"/>
              </w:rPr>
              <w:t xml:space="preserve"> НД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Документ со списком НД которые не предоставили свои данные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CA044 Поручение на участие в собрании, включает в себя: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Сообщение о лице, осуществляющем права по ценным бумагам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Сообщение о волеизъявлении лица, осуществляющего права по ценным бумагам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Информация о лице, не имеющем право голоса на общем собрании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CA045 Список владельцев ценных бумаг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Сообщение предназначено для передачи информации о владельцах ценных бумаг от головного депозитария эмитенту и будет  использоваться после 01.07.2016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Сообщение об отмене инструкции на голосование </w:t>
            </w:r>
            <w:proofErr w:type="spellStart"/>
            <w:r w:rsidRPr="00F317C3">
              <w:rPr>
                <w:sz w:val="16"/>
                <w:szCs w:val="16"/>
              </w:rPr>
              <w:t>MeetingInstructionCancellationRequest</w:t>
            </w:r>
            <w:proofErr w:type="spellEnd"/>
            <w:r w:rsidRPr="00F317C3">
              <w:rPr>
                <w:sz w:val="16"/>
                <w:szCs w:val="16"/>
              </w:rPr>
              <w:t xml:space="preserve"> (seev.005.001.04) не используется.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Для замены инструкции на голосование должна направляться другая инструкция. Новая инструкция должна содержать инструкции на голосование, которым заменяется ранее направленные инструкции.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При замене ранее направленной инструкции должен быть заполнен блок 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AppHdr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Rltd</w:t>
            </w:r>
            <w:proofErr w:type="spellEnd"/>
            <w:r w:rsidRPr="00F317C3">
              <w:rPr>
                <w:sz w:val="16"/>
                <w:szCs w:val="16"/>
              </w:rPr>
              <w:t xml:space="preserve">/*, в котором повторены значения из 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AppHdr</w:t>
            </w:r>
            <w:proofErr w:type="spellEnd"/>
            <w:r w:rsidRPr="00F317C3">
              <w:rPr>
                <w:sz w:val="16"/>
                <w:szCs w:val="16"/>
              </w:rPr>
              <w:t>/* заменяемой инструкции.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Замена предполагает удаление результатов (блоков 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Document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MtgInstr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Instr</w:t>
            </w:r>
            <w:proofErr w:type="spellEnd"/>
            <w:r w:rsidRPr="00F317C3">
              <w:rPr>
                <w:sz w:val="16"/>
                <w:szCs w:val="16"/>
              </w:rPr>
              <w:t xml:space="preserve">/*) по заменяемой инструкции и учет новых результатов (блоков 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Document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MtgInstr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Instr</w:t>
            </w:r>
            <w:proofErr w:type="spellEnd"/>
            <w:r w:rsidRPr="00F317C3">
              <w:rPr>
                <w:sz w:val="16"/>
                <w:szCs w:val="16"/>
              </w:rPr>
              <w:t xml:space="preserve">/*)  из заменяющей инструкции. 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Уникальным может считаться составной идентификатор 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Document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MtgInstr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Instr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InstrId</w:t>
            </w:r>
            <w:proofErr w:type="spellEnd"/>
            <w:r w:rsidRPr="00F317C3">
              <w:rPr>
                <w:sz w:val="16"/>
                <w:szCs w:val="16"/>
              </w:rPr>
              <w:t xml:space="preserve"> + */</w:t>
            </w:r>
            <w:proofErr w:type="spellStart"/>
            <w:r w:rsidRPr="00F317C3">
              <w:rPr>
                <w:sz w:val="16"/>
                <w:szCs w:val="16"/>
              </w:rPr>
              <w:t>AppHdr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BizMsgIdr</w:t>
            </w:r>
            <w:proofErr w:type="spellEnd"/>
            <w:r w:rsidRPr="00F317C3">
              <w:rPr>
                <w:sz w:val="16"/>
                <w:szCs w:val="16"/>
              </w:rPr>
              <w:t>/* в рамках депонента.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Количество блоков 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Document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MtgInstr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Instr</w:t>
            </w:r>
            <w:proofErr w:type="spellEnd"/>
            <w:r w:rsidRPr="00F317C3">
              <w:rPr>
                <w:sz w:val="16"/>
                <w:szCs w:val="16"/>
              </w:rPr>
              <w:t xml:space="preserve">/* в новой инструкции может быть равным или меньшим, чем в заменяемой инструкции. Поиск блоков для замены производится по номеру блока инструкции «Идентификатор инструкции / </w:t>
            </w:r>
            <w:proofErr w:type="spellStart"/>
            <w:r w:rsidRPr="00F317C3">
              <w:rPr>
                <w:sz w:val="16"/>
                <w:szCs w:val="16"/>
              </w:rPr>
              <w:t>InstructionIdentification</w:t>
            </w:r>
            <w:proofErr w:type="spellEnd"/>
            <w:r w:rsidRPr="00F317C3">
              <w:rPr>
                <w:sz w:val="16"/>
                <w:szCs w:val="16"/>
              </w:rPr>
              <w:t>» (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Document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MtgInstr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Instr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InstrId</w:t>
            </w:r>
            <w:proofErr w:type="spellEnd"/>
            <w:r w:rsidRPr="00F317C3">
              <w:rPr>
                <w:sz w:val="16"/>
                <w:szCs w:val="16"/>
              </w:rPr>
              <w:t xml:space="preserve">). 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Если в новой инструкции есть идентификаторы, отсутствующие в предыдущей инструкции, то по ним направляется отказ с кодом MeetingInstructionStatus/Document/MtgInstrSts/InstrTpSts/InstrSts/DtldInstrSts/InstrSts/RjctnSts/Rsn/Cd=ULNK (не идентифицировано).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lastRenderedPageBreak/>
              <w:t>Заменяющая инструкция должна быть составлена на количество ценных бумаг, идентичное заменяемой инструкции - это требование не действует после 01.07.2016.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Рекомендация.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Направлять CA042 и CA043 по состоянию на дату окончания приема инструкций, или направлять CA042 на одного владельца.</w:t>
            </w:r>
          </w:p>
          <w:p w:rsidR="00F317C3" w:rsidRPr="00F317C3" w:rsidRDefault="00F317C3" w:rsidP="00F317C3">
            <w:pPr>
              <w:rPr>
                <w:i/>
                <w:sz w:val="16"/>
                <w:szCs w:val="16"/>
              </w:rPr>
            </w:pPr>
            <w:r w:rsidRPr="00F317C3">
              <w:rPr>
                <w:i/>
                <w:sz w:val="16"/>
                <w:szCs w:val="16"/>
              </w:rPr>
              <w:t>Для КД BMET (собрание владельцев облигаций) отсутствует возможность кумулятивного голосования, выбора ревизионной комиссии, выбора совета директоров, общее собрание владельцев облигаций проводится отдельно по каждому выпуску облигаций.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Правила использования сообщения могут дополняться документами серии Порядок обмена электронными документами с депонентами/регистраторами при проведении корпоративных действий.</w:t>
            </w:r>
          </w:p>
        </w:tc>
      </w:tr>
      <w:tr w:rsidR="00F317C3" w:rsidRPr="00F317C3" w:rsidTr="00F317C3">
        <w:tc>
          <w:tcPr>
            <w:tcW w:w="442" w:type="dxa"/>
          </w:tcPr>
          <w:p w:rsidR="00F317C3" w:rsidRPr="00F317C3" w:rsidRDefault="00F317C3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3102" w:type="dxa"/>
          </w:tcPr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Статус инструкции для участия в собрании / </w:t>
            </w:r>
            <w:proofErr w:type="spellStart"/>
            <w:r w:rsidRPr="00F317C3">
              <w:rPr>
                <w:sz w:val="16"/>
                <w:szCs w:val="16"/>
                <w:lang w:val="en-US"/>
              </w:rPr>
              <w:t>MeetingInstructionStatus</w:t>
            </w:r>
            <w:proofErr w:type="spellEnd"/>
            <w:r w:rsidRPr="00F317C3">
              <w:rPr>
                <w:sz w:val="16"/>
                <w:szCs w:val="16"/>
              </w:rPr>
              <w:t xml:space="preserve"> (</w:t>
            </w:r>
            <w:proofErr w:type="spellStart"/>
            <w:r w:rsidRPr="00F317C3">
              <w:rPr>
                <w:sz w:val="16"/>
                <w:szCs w:val="16"/>
                <w:lang w:val="en-US"/>
              </w:rPr>
              <w:t>seev</w:t>
            </w:r>
            <w:proofErr w:type="spellEnd"/>
            <w:r w:rsidRPr="00F317C3">
              <w:rPr>
                <w:sz w:val="16"/>
                <w:szCs w:val="16"/>
              </w:rPr>
              <w:t>.006.001.04)</w:t>
            </w:r>
          </w:p>
        </w:tc>
        <w:tc>
          <w:tcPr>
            <w:tcW w:w="6525" w:type="dxa"/>
          </w:tcPr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Область применения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Получатель сообщений 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 xml:space="preserve"> или </w:t>
            </w:r>
            <w:proofErr w:type="spellStart"/>
            <w:r w:rsidRPr="00F317C3">
              <w:rPr>
                <w:sz w:val="16"/>
                <w:szCs w:val="16"/>
              </w:rPr>
              <w:t>MeetingInstructionCancellationRequest</w:t>
            </w:r>
            <w:proofErr w:type="spellEnd"/>
            <w:r w:rsidRPr="00F317C3">
              <w:rPr>
                <w:sz w:val="16"/>
                <w:szCs w:val="16"/>
              </w:rPr>
              <w:t xml:space="preserve"> направляет сообщение </w:t>
            </w:r>
            <w:proofErr w:type="spellStart"/>
            <w:r w:rsidRPr="00F317C3">
              <w:rPr>
                <w:sz w:val="16"/>
                <w:szCs w:val="16"/>
              </w:rPr>
              <w:t>MeetingInstructionStatus</w:t>
            </w:r>
            <w:proofErr w:type="spellEnd"/>
            <w:r w:rsidRPr="00F317C3">
              <w:rPr>
                <w:sz w:val="16"/>
                <w:szCs w:val="16"/>
              </w:rPr>
              <w:t xml:space="preserve"> отправителям сообщений 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 xml:space="preserve"> или </w:t>
            </w:r>
            <w:proofErr w:type="spellStart"/>
            <w:r w:rsidRPr="00F317C3">
              <w:rPr>
                <w:sz w:val="16"/>
                <w:szCs w:val="16"/>
              </w:rPr>
              <w:t>MeetingInstructionCancellationRequest</w:t>
            </w:r>
            <w:proofErr w:type="spellEnd"/>
            <w:r w:rsidRPr="00F317C3">
              <w:rPr>
                <w:sz w:val="16"/>
                <w:szCs w:val="16"/>
              </w:rPr>
              <w:t>. Это сообщение предоставляет статус всего сообщения или одной или более определенных инструкций, включенных в сообщение.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Использование</w:t>
            </w:r>
          </w:p>
          <w:p w:rsid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Сообщение </w:t>
            </w:r>
            <w:proofErr w:type="spellStart"/>
            <w:r w:rsidRPr="00F317C3">
              <w:rPr>
                <w:sz w:val="16"/>
                <w:szCs w:val="16"/>
              </w:rPr>
              <w:t>MeetingInstructionStatus</w:t>
            </w:r>
            <w:proofErr w:type="spellEnd"/>
            <w:r w:rsidRPr="00F317C3">
              <w:rPr>
                <w:sz w:val="16"/>
                <w:szCs w:val="16"/>
              </w:rPr>
              <w:t xml:space="preserve"> используется для четырех случаев. - Во-первых, оно предоставляет статус обработки сообщения </w:t>
            </w:r>
            <w:proofErr w:type="spellStart"/>
            <w:r w:rsidRPr="00F317C3">
              <w:rPr>
                <w:sz w:val="16"/>
                <w:szCs w:val="16"/>
              </w:rPr>
              <w:t>MeetingInstructionCancellationRequest</w:t>
            </w:r>
            <w:proofErr w:type="spellEnd"/>
            <w:r w:rsidRPr="00F317C3">
              <w:rPr>
                <w:sz w:val="16"/>
                <w:szCs w:val="16"/>
              </w:rPr>
              <w:t xml:space="preserve">, например, принято ли требование в сообщении или отклонено. - Во-вторых, оно используется, чтобы предоставить статус общей обработки сообщения 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 xml:space="preserve"> или отказа в обработке всего сообщения 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 xml:space="preserve">. - В-третьих, оно используется для предоставления детального статуса обработки или отказа в обработке сообщения 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 xml:space="preserve">, например, для каждой инструкции, включенной в сообщение 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 xml:space="preserve">, сообщается </w:t>
            </w:r>
            <w:proofErr w:type="spellStart"/>
            <w:r w:rsidRPr="00F317C3">
              <w:rPr>
                <w:sz w:val="16"/>
                <w:szCs w:val="16"/>
              </w:rPr>
              <w:t>инивидуальное</w:t>
            </w:r>
            <w:proofErr w:type="spellEnd"/>
            <w:r w:rsidRPr="00F317C3">
              <w:rPr>
                <w:sz w:val="16"/>
                <w:szCs w:val="16"/>
              </w:rPr>
              <w:t xml:space="preserve"> состояние обработки или отказа с использованием элемента </w:t>
            </w:r>
            <w:proofErr w:type="spellStart"/>
            <w:r w:rsidRPr="00F317C3">
              <w:rPr>
                <w:sz w:val="16"/>
                <w:szCs w:val="16"/>
              </w:rPr>
              <w:t>InstructionIdentification</w:t>
            </w:r>
            <w:proofErr w:type="spellEnd"/>
            <w:r w:rsidRPr="00F317C3">
              <w:rPr>
                <w:sz w:val="16"/>
                <w:szCs w:val="16"/>
              </w:rPr>
              <w:t xml:space="preserve">. Эта идентификация позволяет получателю сообщения о статусе сопоставить статус подтверждения с его оригинальной инструкцией. Блокировка ценных бумаг должна быть </w:t>
            </w:r>
            <w:proofErr w:type="spellStart"/>
            <w:r w:rsidRPr="00F317C3">
              <w:rPr>
                <w:sz w:val="16"/>
                <w:szCs w:val="16"/>
              </w:rPr>
              <w:t>подвтерждена</w:t>
            </w:r>
            <w:proofErr w:type="spellEnd"/>
            <w:r w:rsidRPr="00F317C3">
              <w:rPr>
                <w:sz w:val="16"/>
                <w:szCs w:val="16"/>
              </w:rPr>
              <w:t xml:space="preserve"> с использованием MT 508 (Извещение о движении внутри позиции, </w:t>
            </w:r>
            <w:proofErr w:type="spellStart"/>
            <w:r w:rsidRPr="00F317C3">
              <w:rPr>
                <w:sz w:val="16"/>
                <w:szCs w:val="16"/>
              </w:rPr>
              <w:t>Intra-Position</w:t>
            </w:r>
            <w:proofErr w:type="spellEnd"/>
            <w:r w:rsidRPr="00F317C3">
              <w:rPr>
                <w:sz w:val="16"/>
                <w:szCs w:val="16"/>
              </w:rPr>
              <w:t xml:space="preserve"> </w:t>
            </w:r>
            <w:proofErr w:type="spellStart"/>
            <w:r w:rsidRPr="00F317C3">
              <w:rPr>
                <w:sz w:val="16"/>
                <w:szCs w:val="16"/>
              </w:rPr>
              <w:t>Advice</w:t>
            </w:r>
            <w:proofErr w:type="spellEnd"/>
            <w:r w:rsidRPr="00F317C3">
              <w:rPr>
                <w:sz w:val="16"/>
                <w:szCs w:val="16"/>
              </w:rPr>
              <w:t xml:space="preserve">). - В-четвертых, это сообщение используется как напоминание запроса инструкции на голосование. Это делается путем указания NONREF в идентификаторе элемента компонента </w:t>
            </w:r>
            <w:proofErr w:type="spellStart"/>
            <w:r w:rsidRPr="00F317C3">
              <w:rPr>
                <w:sz w:val="16"/>
                <w:szCs w:val="16"/>
              </w:rPr>
              <w:t>InstructionIdentification</w:t>
            </w:r>
            <w:proofErr w:type="spellEnd"/>
            <w:r w:rsidRPr="00F317C3">
              <w:rPr>
                <w:sz w:val="16"/>
                <w:szCs w:val="16"/>
              </w:rPr>
              <w:t xml:space="preserve"> и с помощью кода состояния </w:t>
            </w:r>
            <w:proofErr w:type="spellStart"/>
            <w:r w:rsidRPr="00F317C3">
              <w:rPr>
                <w:sz w:val="16"/>
                <w:szCs w:val="16"/>
              </w:rPr>
              <w:t>NotReceived</w:t>
            </w:r>
            <w:proofErr w:type="spellEnd"/>
            <w:r w:rsidRPr="00F317C3">
              <w:rPr>
                <w:sz w:val="16"/>
                <w:szCs w:val="16"/>
              </w:rPr>
              <w:t xml:space="preserve"> в </w:t>
            </w:r>
            <w:proofErr w:type="spellStart"/>
            <w:r w:rsidRPr="00F317C3">
              <w:rPr>
                <w:sz w:val="16"/>
                <w:szCs w:val="16"/>
              </w:rPr>
              <w:t>ProcessingStatus</w:t>
            </w:r>
            <w:proofErr w:type="spellEnd"/>
            <w:r w:rsidRPr="00F317C3">
              <w:rPr>
                <w:sz w:val="16"/>
                <w:szCs w:val="16"/>
              </w:rPr>
              <w:t>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CA061 Прием/отказ инструкции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Данное сообщение направляется участниками процесса электронного голосования в ответ на документ о голосовании (может быть послано НРД или Регистратором)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Используется только опция предоставления статуса всего сообщения 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 xml:space="preserve"> – блок MeetingInstructionStatus/Document/MtgInstrSts/InstrTpSts/InstrSts/GblInstrSts/*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В сведениях о связанном сообщении </w:t>
            </w:r>
            <w:proofErr w:type="spellStart"/>
            <w:r w:rsidRPr="00F317C3">
              <w:rPr>
                <w:sz w:val="16"/>
                <w:szCs w:val="16"/>
              </w:rPr>
              <w:t>MeetingInstructionStatus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AppHdr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Rltd</w:t>
            </w:r>
            <w:proofErr w:type="spellEnd"/>
            <w:r w:rsidRPr="00F317C3">
              <w:rPr>
                <w:sz w:val="16"/>
                <w:szCs w:val="16"/>
              </w:rPr>
              <w:t xml:space="preserve">/* указываются реквизиты 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>, по которому предоставляется статус.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Сообщение о приеме инструкции: Используется блок */*/</w:t>
            </w:r>
            <w:proofErr w:type="spellStart"/>
            <w:r w:rsidRPr="00F317C3">
              <w:rPr>
                <w:sz w:val="16"/>
                <w:szCs w:val="16"/>
              </w:rPr>
              <w:t>InstrTpSts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InstrSts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GblInstrSts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PrcgSts</w:t>
            </w:r>
            <w:proofErr w:type="spellEnd"/>
            <w:r w:rsidRPr="00F317C3">
              <w:rPr>
                <w:sz w:val="16"/>
                <w:szCs w:val="16"/>
              </w:rPr>
              <w:t>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Сообщение об отказе в приеме инструкции: Используется блок */*/</w:t>
            </w:r>
            <w:proofErr w:type="spellStart"/>
            <w:r w:rsidRPr="00F317C3">
              <w:rPr>
                <w:sz w:val="16"/>
                <w:szCs w:val="16"/>
              </w:rPr>
              <w:t>InstrTpSts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InstrSts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GblInstrSts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RjctnSts</w:t>
            </w:r>
            <w:proofErr w:type="spellEnd"/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</w:p>
          <w:p w:rsidR="00F317C3" w:rsidRPr="00F317C3" w:rsidRDefault="00F317C3" w:rsidP="00F317C3">
            <w:pPr>
              <w:rPr>
                <w:sz w:val="16"/>
                <w:szCs w:val="16"/>
                <w:lang w:val="en-US"/>
              </w:rPr>
            </w:pPr>
            <w:r w:rsidRPr="00F317C3">
              <w:rPr>
                <w:sz w:val="16"/>
                <w:szCs w:val="16"/>
              </w:rPr>
              <w:t>Блок</w:t>
            </w:r>
            <w:r w:rsidRPr="00F317C3">
              <w:rPr>
                <w:sz w:val="16"/>
                <w:szCs w:val="16"/>
                <w:lang w:val="en-US"/>
              </w:rPr>
              <w:t xml:space="preserve"> MeetingInstructionStatus/Document/MtgInstrSts/InstrTpSts/InstrSts/DtldInstrSts </w:t>
            </w:r>
            <w:r w:rsidRPr="00F317C3">
              <w:rPr>
                <w:sz w:val="16"/>
                <w:szCs w:val="16"/>
              </w:rPr>
              <w:t>не</w:t>
            </w:r>
            <w:r w:rsidRPr="00F317C3">
              <w:rPr>
                <w:sz w:val="16"/>
                <w:szCs w:val="16"/>
                <w:lang w:val="en-US"/>
              </w:rPr>
              <w:t xml:space="preserve"> </w:t>
            </w:r>
            <w:r w:rsidRPr="00F317C3">
              <w:rPr>
                <w:sz w:val="16"/>
                <w:szCs w:val="16"/>
              </w:rPr>
              <w:t>используется</w:t>
            </w:r>
            <w:r w:rsidRPr="00F317C3">
              <w:rPr>
                <w:sz w:val="16"/>
                <w:szCs w:val="16"/>
                <w:lang w:val="en-US"/>
              </w:rPr>
              <w:t>.</w:t>
            </w:r>
          </w:p>
          <w:p w:rsidR="00F317C3" w:rsidRPr="00F317C3" w:rsidRDefault="00F317C3" w:rsidP="00F317C3">
            <w:pPr>
              <w:rPr>
                <w:sz w:val="16"/>
                <w:szCs w:val="16"/>
                <w:lang w:val="en-US"/>
              </w:rPr>
            </w:pP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Опционально. </w:t>
            </w:r>
            <w:proofErr w:type="spellStart"/>
            <w:r w:rsidRPr="00F317C3">
              <w:rPr>
                <w:sz w:val="16"/>
                <w:szCs w:val="16"/>
              </w:rPr>
              <w:t>MeetingInstructionStatus</w:t>
            </w:r>
            <w:proofErr w:type="spellEnd"/>
            <w:r w:rsidRPr="00F317C3">
              <w:rPr>
                <w:sz w:val="16"/>
                <w:szCs w:val="16"/>
              </w:rPr>
              <w:t xml:space="preserve"> может использоваться как напоминание отправки инструкции на голосование. </w:t>
            </w:r>
            <w:proofErr w:type="gramStart"/>
            <w:r w:rsidRPr="00F317C3">
              <w:rPr>
                <w:sz w:val="16"/>
                <w:szCs w:val="16"/>
              </w:rPr>
              <w:t xml:space="preserve">Это делается путем указания NONREF в идентификаторе элемента компонента </w:t>
            </w:r>
            <w:proofErr w:type="spellStart"/>
            <w:r w:rsidRPr="00F317C3">
              <w:rPr>
                <w:sz w:val="16"/>
                <w:szCs w:val="16"/>
              </w:rPr>
              <w:t>InstructionIdentification</w:t>
            </w:r>
            <w:proofErr w:type="spellEnd"/>
            <w:r w:rsidRPr="00F317C3">
              <w:rPr>
                <w:sz w:val="16"/>
                <w:szCs w:val="16"/>
              </w:rPr>
              <w:t xml:space="preserve"> и с помощью кода состояния NOIN (</w:t>
            </w:r>
            <w:proofErr w:type="spellStart"/>
            <w:r w:rsidRPr="00F317C3">
              <w:rPr>
                <w:sz w:val="16"/>
                <w:szCs w:val="16"/>
              </w:rPr>
              <w:t>NotReceived</w:t>
            </w:r>
            <w:proofErr w:type="spellEnd"/>
            <w:r w:rsidRPr="00F317C3">
              <w:rPr>
                <w:sz w:val="16"/>
                <w:szCs w:val="16"/>
              </w:rPr>
              <w:t>) в MeetingInstructionStatus/Document/MtgInstrSts/InstrTpSts/InstrSts/GblInstrSts/PrcgSts/Sts).</w:t>
            </w:r>
            <w:proofErr w:type="gramEnd"/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proofErr w:type="spellStart"/>
            <w:r w:rsidRPr="00F317C3">
              <w:rPr>
                <w:sz w:val="16"/>
                <w:szCs w:val="16"/>
              </w:rPr>
              <w:t>MeetingInstructionStatus</w:t>
            </w:r>
            <w:proofErr w:type="spellEnd"/>
            <w:r w:rsidRPr="00F317C3">
              <w:rPr>
                <w:sz w:val="16"/>
                <w:szCs w:val="16"/>
              </w:rPr>
              <w:t xml:space="preserve"> отправляется в ответ на все поступившие сообщения 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>, включая сообщения со списками раскрывшихся, но не голосовавших владельцев/нераскрывшихся.</w:t>
            </w:r>
          </w:p>
        </w:tc>
      </w:tr>
      <w:tr w:rsidR="00F317C3" w:rsidRPr="00F317C3" w:rsidTr="00F317C3">
        <w:tc>
          <w:tcPr>
            <w:tcW w:w="442" w:type="dxa"/>
          </w:tcPr>
          <w:p w:rsidR="00F317C3" w:rsidRPr="00F317C3" w:rsidRDefault="00F317C3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3102" w:type="dxa"/>
          </w:tcPr>
          <w:p w:rsidR="00F317C3" w:rsidRPr="00F317C3" w:rsidRDefault="00F317C3" w:rsidP="00F317C3">
            <w:pPr>
              <w:rPr>
                <w:sz w:val="16"/>
                <w:szCs w:val="16"/>
                <w:lang w:val="en-US"/>
              </w:rPr>
            </w:pPr>
            <w:proofErr w:type="spellStart"/>
            <w:r w:rsidRPr="00F317C3">
              <w:rPr>
                <w:sz w:val="16"/>
                <w:szCs w:val="16"/>
                <w:lang w:val="en-US"/>
              </w:rPr>
              <w:t>Сообщение</w:t>
            </w:r>
            <w:proofErr w:type="spellEnd"/>
            <w:r w:rsidRPr="00F317C3">
              <w:rPr>
                <w:sz w:val="16"/>
                <w:szCs w:val="16"/>
                <w:lang w:val="en-US"/>
              </w:rPr>
              <w:t xml:space="preserve"> о </w:t>
            </w:r>
            <w:proofErr w:type="spellStart"/>
            <w:r w:rsidRPr="00F317C3">
              <w:rPr>
                <w:sz w:val="16"/>
                <w:szCs w:val="16"/>
                <w:lang w:val="en-US"/>
              </w:rPr>
              <w:t>собрании</w:t>
            </w:r>
            <w:proofErr w:type="spellEnd"/>
            <w:r w:rsidRPr="00F317C3">
              <w:rPr>
                <w:sz w:val="16"/>
                <w:szCs w:val="16"/>
                <w:lang w:val="en-US"/>
              </w:rPr>
              <w:t xml:space="preserve"> / Meeting Notification (seev.001.001.04)</w:t>
            </w:r>
          </w:p>
        </w:tc>
        <w:tc>
          <w:tcPr>
            <w:tcW w:w="6525" w:type="dxa"/>
          </w:tcPr>
          <w:p w:rsid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Область </w:t>
            </w:r>
            <w:proofErr w:type="gramStart"/>
            <w:r w:rsidRPr="00F317C3">
              <w:rPr>
                <w:sz w:val="16"/>
                <w:szCs w:val="16"/>
              </w:rPr>
              <w:t>применения</w:t>
            </w:r>
            <w:proofErr w:type="gramEnd"/>
            <w:r w:rsidRPr="00F317C3">
              <w:rPr>
                <w:sz w:val="16"/>
                <w:szCs w:val="16"/>
              </w:rPr>
              <w:t xml:space="preserve"> Уведомляющая сторона, например, эмитент, его агент или посредник, направляет  Сообщение о собрании стороне, имеющей право голосования, для уведомления о собрании </w:t>
            </w:r>
            <w:r>
              <w:rPr>
                <w:sz w:val="16"/>
                <w:szCs w:val="16"/>
              </w:rPr>
              <w:t>владельцев ценных бумаг</w:t>
            </w:r>
            <w:r w:rsidRPr="00F317C3">
              <w:rPr>
                <w:sz w:val="16"/>
                <w:szCs w:val="16"/>
              </w:rPr>
              <w:t xml:space="preserve">. Сообщение о собрании используется для уведомления о проведении собрания </w:t>
            </w:r>
            <w:r>
              <w:rPr>
                <w:sz w:val="16"/>
                <w:szCs w:val="16"/>
              </w:rPr>
              <w:t>владельцев ценных бумаг</w:t>
            </w:r>
            <w:r w:rsidRPr="00F317C3">
              <w:rPr>
                <w:sz w:val="16"/>
                <w:szCs w:val="16"/>
              </w:rPr>
              <w:t>, например</w:t>
            </w:r>
            <w:proofErr w:type="gramStart"/>
            <w:r w:rsidRPr="00F317C3">
              <w:rPr>
                <w:sz w:val="16"/>
                <w:szCs w:val="16"/>
              </w:rPr>
              <w:t>,</w:t>
            </w:r>
            <w:proofErr w:type="gramEnd"/>
            <w:r w:rsidRPr="00F317C3">
              <w:rPr>
                <w:sz w:val="16"/>
                <w:szCs w:val="16"/>
              </w:rPr>
              <w:t xml:space="preserve"> оно представляет информацию о деталях участия и требования, касающиеся собрания, параметры голосования и решения.  Сообщение о собрании может также использоваться для уведомления об обновлениях. Для уведомления об обновлениях должен быть заполнен блок </w:t>
            </w:r>
            <w:r w:rsidRPr="00F317C3">
              <w:rPr>
                <w:sz w:val="16"/>
                <w:szCs w:val="16"/>
                <w:lang w:val="en-US"/>
              </w:rPr>
              <w:t>Amendment</w:t>
            </w:r>
            <w:r w:rsidRPr="00F317C3">
              <w:rPr>
                <w:sz w:val="16"/>
                <w:szCs w:val="16"/>
              </w:rPr>
              <w:t xml:space="preserve">. Любой блок, который был изменен, должен быть включен в сообщение об изменении. Информация из предыдущего сообщения, не повторенная в сообщении об изменении, остается в силе. Для обновления решений в повестке дня, список всех решений должен быть повторен в сообщении об изменениях. </w:t>
            </w:r>
            <w:r w:rsidRPr="00367684">
              <w:rPr>
                <w:sz w:val="16"/>
                <w:szCs w:val="16"/>
              </w:rPr>
              <w:t xml:space="preserve">Решения, которые были удалены, должны быть помечены </w:t>
            </w:r>
            <w:r w:rsidR="002A54C7" w:rsidRPr="00367684">
              <w:rPr>
                <w:sz w:val="16"/>
                <w:szCs w:val="16"/>
              </w:rPr>
              <w:t>статусом</w:t>
            </w:r>
            <w:r w:rsidRPr="00367684">
              <w:rPr>
                <w:sz w:val="16"/>
                <w:szCs w:val="16"/>
              </w:rPr>
              <w:t xml:space="preserve"> </w:t>
            </w:r>
            <w:r w:rsidRPr="00F317C3">
              <w:rPr>
                <w:sz w:val="16"/>
                <w:szCs w:val="16"/>
                <w:lang w:val="en-US"/>
              </w:rPr>
              <w:t>Withdrawn</w:t>
            </w:r>
            <w:r w:rsidRPr="00367684">
              <w:rPr>
                <w:sz w:val="16"/>
                <w:szCs w:val="16"/>
              </w:rPr>
              <w:t>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CA011 Сообщение о собрании по существенному факту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CA012 Сообщение о проведении ОСА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CA013 Напоминание о собрании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Уведомляющая сторона направляет  сообщение о собрании стороне, имеющей право голосования, для уведомления о собрании </w:t>
            </w:r>
            <w:r>
              <w:rPr>
                <w:sz w:val="16"/>
                <w:szCs w:val="16"/>
              </w:rPr>
              <w:t>владельцев ценных бумаг</w:t>
            </w:r>
            <w:r w:rsidRPr="00F317C3">
              <w:rPr>
                <w:sz w:val="16"/>
                <w:szCs w:val="16"/>
              </w:rPr>
              <w:t xml:space="preserve">. Сообщение о собрании используется для уведомления о проведении собрания </w:t>
            </w:r>
            <w:r>
              <w:rPr>
                <w:sz w:val="16"/>
                <w:szCs w:val="16"/>
              </w:rPr>
              <w:t>владельцев ценных бумаг</w:t>
            </w:r>
            <w:r w:rsidRPr="00F317C3">
              <w:rPr>
                <w:sz w:val="16"/>
                <w:szCs w:val="16"/>
              </w:rPr>
              <w:t>, например</w:t>
            </w:r>
            <w:proofErr w:type="gramStart"/>
            <w:r w:rsidRPr="00F317C3">
              <w:rPr>
                <w:sz w:val="16"/>
                <w:szCs w:val="16"/>
              </w:rPr>
              <w:t>,</w:t>
            </w:r>
            <w:proofErr w:type="gramEnd"/>
            <w:r w:rsidRPr="00F317C3">
              <w:rPr>
                <w:sz w:val="16"/>
                <w:szCs w:val="16"/>
              </w:rPr>
              <w:t xml:space="preserve"> оно представляет информацию о деталях участия и требования, касающиеся собрания, параметры голосования и решения. 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Материалы </w:t>
            </w:r>
            <w:proofErr w:type="gramStart"/>
            <w:r w:rsidRPr="00F317C3">
              <w:rPr>
                <w:sz w:val="16"/>
                <w:szCs w:val="16"/>
              </w:rPr>
              <w:t>к</w:t>
            </w:r>
            <w:proofErr w:type="gramEnd"/>
            <w:r w:rsidRPr="00F317C3">
              <w:rPr>
                <w:sz w:val="16"/>
                <w:szCs w:val="16"/>
              </w:rPr>
              <w:t xml:space="preserve"> </w:t>
            </w:r>
            <w:proofErr w:type="gramStart"/>
            <w:r w:rsidRPr="00F317C3">
              <w:rPr>
                <w:sz w:val="16"/>
                <w:szCs w:val="16"/>
              </w:rPr>
              <w:t>ОСА</w:t>
            </w:r>
            <w:proofErr w:type="gramEnd"/>
            <w:r w:rsidRPr="00F317C3">
              <w:rPr>
                <w:sz w:val="16"/>
                <w:szCs w:val="16"/>
              </w:rPr>
              <w:t xml:space="preserve"> предоставляются путем указания адреса в сети Интернет, по которому можно ознакомиться с дополнительной документацией, в поле</w:t>
            </w:r>
          </w:p>
          <w:p w:rsidR="00F317C3" w:rsidRDefault="00F317C3" w:rsidP="00F317C3">
            <w:pPr>
              <w:rPr>
                <w:sz w:val="16"/>
                <w:szCs w:val="16"/>
                <w:lang w:val="en-US"/>
              </w:rPr>
            </w:pPr>
            <w:proofErr w:type="spellStart"/>
            <w:r w:rsidRPr="00F317C3">
              <w:rPr>
                <w:sz w:val="16"/>
                <w:szCs w:val="16"/>
              </w:rPr>
              <w:t>MeetingNotification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Document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MtgNtfctn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Mtg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AddtlDcmnttnURLAdr</w:t>
            </w:r>
            <w:proofErr w:type="spellEnd"/>
          </w:p>
          <w:p w:rsidR="002A54C7" w:rsidRPr="002A54C7" w:rsidRDefault="002A54C7" w:rsidP="00F317C3">
            <w:pPr>
              <w:rPr>
                <w:sz w:val="16"/>
                <w:szCs w:val="16"/>
                <w:lang w:val="en-US"/>
              </w:rPr>
            </w:pPr>
            <w:r w:rsidRPr="002A54C7">
              <w:rPr>
                <w:sz w:val="16"/>
                <w:szCs w:val="16"/>
              </w:rPr>
              <w:t xml:space="preserve">Поле </w:t>
            </w:r>
            <w:proofErr w:type="spellStart"/>
            <w:r w:rsidRPr="002A54C7">
              <w:rPr>
                <w:sz w:val="16"/>
                <w:szCs w:val="16"/>
                <w:lang w:val="en-US"/>
              </w:rPr>
              <w:t>AddtlDcmnttnURLAdr</w:t>
            </w:r>
            <w:proofErr w:type="spellEnd"/>
            <w:r w:rsidRPr="002A54C7">
              <w:rPr>
                <w:sz w:val="16"/>
                <w:szCs w:val="16"/>
              </w:rPr>
              <w:t xml:space="preserve"> заполняется автоматизированной системой НРД. </w:t>
            </w:r>
            <w:proofErr w:type="spellStart"/>
            <w:r w:rsidRPr="002A54C7">
              <w:rPr>
                <w:sz w:val="16"/>
                <w:szCs w:val="16"/>
                <w:lang w:val="en-US"/>
              </w:rPr>
              <w:t>Регистраторы</w:t>
            </w:r>
            <w:proofErr w:type="spellEnd"/>
            <w:r w:rsidRPr="002A54C7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A54C7">
              <w:rPr>
                <w:sz w:val="16"/>
                <w:szCs w:val="16"/>
                <w:lang w:val="en-US"/>
              </w:rPr>
              <w:t>это</w:t>
            </w:r>
            <w:proofErr w:type="spellEnd"/>
            <w:r w:rsidRPr="002A54C7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A54C7">
              <w:rPr>
                <w:sz w:val="16"/>
                <w:szCs w:val="16"/>
                <w:lang w:val="en-US"/>
              </w:rPr>
              <w:t>поле</w:t>
            </w:r>
            <w:proofErr w:type="spellEnd"/>
            <w:r w:rsidRPr="002A54C7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A54C7">
              <w:rPr>
                <w:sz w:val="16"/>
                <w:szCs w:val="16"/>
                <w:lang w:val="en-US"/>
              </w:rPr>
              <w:t>не</w:t>
            </w:r>
            <w:proofErr w:type="spellEnd"/>
            <w:r w:rsidRPr="002A54C7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A54C7">
              <w:rPr>
                <w:sz w:val="16"/>
                <w:szCs w:val="16"/>
                <w:lang w:val="en-US"/>
              </w:rPr>
              <w:t>заполняют</w:t>
            </w:r>
            <w:proofErr w:type="spellEnd"/>
            <w:r w:rsidRPr="002A54C7">
              <w:rPr>
                <w:sz w:val="16"/>
                <w:szCs w:val="16"/>
                <w:lang w:val="en-US"/>
              </w:rPr>
              <w:t xml:space="preserve">. 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CA014 Информация из Бюллетеня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lastRenderedPageBreak/>
              <w:t xml:space="preserve">Уведомляющая сторона направляет  сообщение стороне, имеющей право голосования. Данное сообщение содержит в себя бюллетень к предстоящему собранию </w:t>
            </w:r>
            <w:r w:rsidR="00072D0E">
              <w:rPr>
                <w:sz w:val="16"/>
                <w:szCs w:val="16"/>
              </w:rPr>
              <w:t>владельцев ценных бумаг</w:t>
            </w:r>
            <w:r w:rsidRPr="00F317C3">
              <w:rPr>
                <w:sz w:val="16"/>
                <w:szCs w:val="16"/>
              </w:rPr>
              <w:t>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Считается, что предоставлен документ Информация из бюллетеня, если заполнен блок </w:t>
            </w:r>
            <w:proofErr w:type="spellStart"/>
            <w:r w:rsidRPr="00F317C3">
              <w:rPr>
                <w:sz w:val="16"/>
                <w:szCs w:val="16"/>
              </w:rPr>
              <w:t>MeetingNotification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Document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MtgNtfctn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Rsltn</w:t>
            </w:r>
            <w:proofErr w:type="spellEnd"/>
            <w:r w:rsidRPr="00F317C3">
              <w:rPr>
                <w:sz w:val="16"/>
                <w:szCs w:val="16"/>
              </w:rPr>
              <w:t>/*  (проект решения для голосования).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Указанием на проведение электронного голосования с использованием системы e-</w:t>
            </w:r>
            <w:proofErr w:type="spellStart"/>
            <w:r w:rsidRPr="00F317C3">
              <w:rPr>
                <w:sz w:val="16"/>
                <w:szCs w:val="16"/>
              </w:rPr>
              <w:t>proxy</w:t>
            </w:r>
            <w:proofErr w:type="spellEnd"/>
            <w:r w:rsidRPr="00F317C3">
              <w:rPr>
                <w:sz w:val="16"/>
                <w:szCs w:val="16"/>
              </w:rPr>
              <w:t>-</w:t>
            </w:r>
            <w:proofErr w:type="spellStart"/>
            <w:r w:rsidRPr="00F317C3">
              <w:rPr>
                <w:sz w:val="16"/>
                <w:szCs w:val="16"/>
              </w:rPr>
              <w:t>voting</w:t>
            </w:r>
            <w:proofErr w:type="spellEnd"/>
            <w:r w:rsidRPr="00F317C3">
              <w:rPr>
                <w:sz w:val="16"/>
                <w:szCs w:val="16"/>
              </w:rPr>
              <w:t xml:space="preserve"> НРД, является заполнение в Сообщении о собрании / </w:t>
            </w:r>
            <w:proofErr w:type="spellStart"/>
            <w:r w:rsidRPr="00F317C3">
              <w:rPr>
                <w:sz w:val="16"/>
                <w:szCs w:val="16"/>
              </w:rPr>
              <w:t>Meeting</w:t>
            </w:r>
            <w:proofErr w:type="spellEnd"/>
            <w:r w:rsidRPr="00F317C3">
              <w:rPr>
                <w:sz w:val="16"/>
                <w:szCs w:val="16"/>
              </w:rPr>
              <w:t xml:space="preserve"> </w:t>
            </w:r>
            <w:proofErr w:type="spellStart"/>
            <w:r w:rsidRPr="00F317C3">
              <w:rPr>
                <w:sz w:val="16"/>
                <w:szCs w:val="16"/>
              </w:rPr>
              <w:t>Notification</w:t>
            </w:r>
            <w:proofErr w:type="spellEnd"/>
            <w:r w:rsidRPr="00F317C3">
              <w:rPr>
                <w:sz w:val="16"/>
                <w:szCs w:val="16"/>
              </w:rPr>
              <w:t xml:space="preserve"> (seev.001.001.04) поля (тега) 'Метод голосования / </w:t>
            </w:r>
            <w:proofErr w:type="spellStart"/>
            <w:r w:rsidRPr="00F317C3">
              <w:rPr>
                <w:sz w:val="16"/>
                <w:szCs w:val="16"/>
              </w:rPr>
              <w:t>VoteMethods</w:t>
            </w:r>
            <w:proofErr w:type="spellEnd"/>
            <w:r w:rsidRPr="00F317C3">
              <w:rPr>
                <w:sz w:val="16"/>
                <w:szCs w:val="16"/>
              </w:rPr>
              <w:t>' */</w:t>
            </w:r>
            <w:proofErr w:type="spellStart"/>
            <w:r w:rsidRPr="00F317C3">
              <w:rPr>
                <w:sz w:val="16"/>
                <w:szCs w:val="16"/>
              </w:rPr>
              <w:t>MtgNtfctn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Vote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VoteMthds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ElctrncVote</w:t>
            </w:r>
            <w:proofErr w:type="spellEnd"/>
            <w:r w:rsidRPr="00F317C3">
              <w:rPr>
                <w:sz w:val="16"/>
                <w:szCs w:val="16"/>
              </w:rPr>
              <w:t>/</w:t>
            </w:r>
            <w:proofErr w:type="spellStart"/>
            <w:r w:rsidRPr="00F317C3">
              <w:rPr>
                <w:sz w:val="16"/>
                <w:szCs w:val="16"/>
              </w:rPr>
              <w:t>EmailAdr</w:t>
            </w:r>
            <w:proofErr w:type="spellEnd"/>
            <w:r w:rsidRPr="00F317C3">
              <w:rPr>
                <w:sz w:val="16"/>
                <w:szCs w:val="16"/>
              </w:rPr>
              <w:t xml:space="preserve"> = NDC000000000.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Если поле (тег) не заполнено или указан код, отличный</w:t>
            </w:r>
            <w:r w:rsidRPr="00F317C3">
              <w:rPr>
                <w:sz w:val="16"/>
                <w:szCs w:val="16"/>
              </w:rPr>
              <w:tab/>
              <w:t xml:space="preserve"> от NDC000000000, считается, что собрание проводится без использования системы e-</w:t>
            </w:r>
            <w:proofErr w:type="spellStart"/>
            <w:r w:rsidRPr="00F317C3">
              <w:rPr>
                <w:sz w:val="16"/>
                <w:szCs w:val="16"/>
              </w:rPr>
              <w:t>proxy</w:t>
            </w:r>
            <w:proofErr w:type="spellEnd"/>
            <w:r w:rsidRPr="00F317C3">
              <w:rPr>
                <w:sz w:val="16"/>
                <w:szCs w:val="16"/>
              </w:rPr>
              <w:t>-</w:t>
            </w:r>
            <w:proofErr w:type="spellStart"/>
            <w:r w:rsidRPr="00F317C3">
              <w:rPr>
                <w:sz w:val="16"/>
                <w:szCs w:val="16"/>
              </w:rPr>
              <w:t>voting</w:t>
            </w:r>
            <w:proofErr w:type="spellEnd"/>
            <w:r w:rsidRPr="00F317C3">
              <w:rPr>
                <w:sz w:val="16"/>
                <w:szCs w:val="16"/>
              </w:rPr>
              <w:t xml:space="preserve"> НРД.</w:t>
            </w:r>
          </w:p>
        </w:tc>
      </w:tr>
      <w:tr w:rsidR="00F317C3" w:rsidRPr="00F317C3" w:rsidTr="00F317C3">
        <w:tc>
          <w:tcPr>
            <w:tcW w:w="442" w:type="dxa"/>
          </w:tcPr>
          <w:p w:rsidR="00F317C3" w:rsidRPr="00F317C3" w:rsidRDefault="00F317C3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3102" w:type="dxa"/>
          </w:tcPr>
          <w:p w:rsidR="00F317C3" w:rsidRPr="00F317C3" w:rsidRDefault="00F317C3" w:rsidP="00F317C3">
            <w:pPr>
              <w:rPr>
                <w:sz w:val="16"/>
                <w:szCs w:val="16"/>
                <w:lang w:val="en-US"/>
              </w:rPr>
            </w:pPr>
            <w:proofErr w:type="spellStart"/>
            <w:r w:rsidRPr="00F317C3">
              <w:rPr>
                <w:sz w:val="16"/>
                <w:szCs w:val="16"/>
                <w:lang w:val="en-US"/>
              </w:rPr>
              <w:t>Сообщение</w:t>
            </w:r>
            <w:proofErr w:type="spellEnd"/>
            <w:r w:rsidRPr="00F317C3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317C3">
              <w:rPr>
                <w:sz w:val="16"/>
                <w:szCs w:val="16"/>
                <w:lang w:val="en-US"/>
              </w:rPr>
              <w:t>об</w:t>
            </w:r>
            <w:proofErr w:type="spellEnd"/>
            <w:r w:rsidRPr="00F317C3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317C3">
              <w:rPr>
                <w:sz w:val="16"/>
                <w:szCs w:val="16"/>
                <w:lang w:val="en-US"/>
              </w:rPr>
              <w:t>итогах</w:t>
            </w:r>
            <w:proofErr w:type="spellEnd"/>
            <w:r w:rsidRPr="00F317C3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317C3">
              <w:rPr>
                <w:sz w:val="16"/>
                <w:szCs w:val="16"/>
                <w:lang w:val="en-US"/>
              </w:rPr>
              <w:t>собрания</w:t>
            </w:r>
            <w:proofErr w:type="spellEnd"/>
            <w:r w:rsidRPr="00F317C3">
              <w:rPr>
                <w:sz w:val="16"/>
                <w:szCs w:val="16"/>
                <w:lang w:val="en-US"/>
              </w:rPr>
              <w:t xml:space="preserve"> / Meeting Result Dissemination (seev.008.001.04)</w:t>
            </w:r>
          </w:p>
        </w:tc>
        <w:tc>
          <w:tcPr>
            <w:tcW w:w="6525" w:type="dxa"/>
          </w:tcPr>
          <w:p w:rsid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Область применения Эмитент, его агент или посредник направляют Сообщение об итогах собрания иному посреднику, стороне, имеющей право на голосование, зарегистрированному владельцу ценных бумаг или бенефициару для предоставления информации о результатах голосования на собрании владельцев ценных бумаг. Использование Сообщение об итогах собрания используется для предоставления результатов голосования по каждому решению. Оно может также использоваться для предоставления сведений об уровне участия в собрании. </w:t>
            </w:r>
            <w:proofErr w:type="spellStart"/>
            <w:r w:rsidRPr="00F317C3">
              <w:rPr>
                <w:sz w:val="16"/>
                <w:szCs w:val="16"/>
              </w:rPr>
              <w:t>Таже</w:t>
            </w:r>
            <w:proofErr w:type="spellEnd"/>
            <w:r w:rsidRPr="00F317C3">
              <w:rPr>
                <w:sz w:val="16"/>
                <w:szCs w:val="16"/>
              </w:rPr>
              <w:t xml:space="preserve"> это сообщение используется для уведомления об обновлении или изменении ранее направленного сообщения об итогах собрания.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Сообщение об итогах собрания по существенному факту - CA081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Отчет об итогах голосования - CA082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Данное сообщение составляется на основании </w:t>
            </w:r>
            <w:proofErr w:type="gramStart"/>
            <w:r w:rsidRPr="00F317C3">
              <w:rPr>
                <w:sz w:val="16"/>
                <w:szCs w:val="16"/>
              </w:rPr>
              <w:t>итогов проведения собрания владельцев ценных бумаг</w:t>
            </w:r>
            <w:proofErr w:type="gramEnd"/>
            <w:r w:rsidRPr="00F317C3">
              <w:rPr>
                <w:sz w:val="16"/>
                <w:szCs w:val="16"/>
              </w:rPr>
              <w:t xml:space="preserve"> и содержит информацию по решениям, принятым на собрании. </w:t>
            </w:r>
          </w:p>
        </w:tc>
      </w:tr>
      <w:tr w:rsidR="00F317C3" w:rsidRPr="00F317C3" w:rsidTr="00F317C3">
        <w:tc>
          <w:tcPr>
            <w:tcW w:w="442" w:type="dxa"/>
          </w:tcPr>
          <w:p w:rsidR="00F317C3" w:rsidRPr="00F317C3" w:rsidRDefault="00F317C3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3102" w:type="dxa"/>
          </w:tcPr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Сообщение об отказе / </w:t>
            </w:r>
            <w:proofErr w:type="spellStart"/>
            <w:r w:rsidRPr="00F317C3">
              <w:rPr>
                <w:sz w:val="16"/>
                <w:szCs w:val="16"/>
              </w:rPr>
              <w:t>MessageReject</w:t>
            </w:r>
            <w:proofErr w:type="spellEnd"/>
            <w:r w:rsidRPr="00F317C3">
              <w:rPr>
                <w:sz w:val="16"/>
                <w:szCs w:val="16"/>
              </w:rPr>
              <w:t xml:space="preserve"> (admi.002.001.01)</w:t>
            </w:r>
          </w:p>
        </w:tc>
        <w:tc>
          <w:tcPr>
            <w:tcW w:w="6525" w:type="dxa"/>
          </w:tcPr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Область применения. 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Сообщение об отказе направляется центральной системой для уведомления об отказе от ранее принятого сообщения.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Использование. </w:t>
            </w:r>
          </w:p>
          <w:p w:rsid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Сообщение предоставляет конкретн</w:t>
            </w:r>
            <w:r>
              <w:rPr>
                <w:sz w:val="16"/>
                <w:szCs w:val="16"/>
              </w:rPr>
              <w:t>ую информацию о причине отказа.</w:t>
            </w:r>
          </w:p>
          <w:p w:rsidR="00F317C3" w:rsidRDefault="00F317C3" w:rsidP="00F317C3">
            <w:pPr>
              <w:rPr>
                <w:sz w:val="16"/>
                <w:szCs w:val="16"/>
              </w:rPr>
            </w:pP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AM021 Сообщение об отказе в приеме сообщения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Сообщение используется для оповещения отправителя об отказе в приеме сообщения по техническим основаниям.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Для направления извещения об отказе в приеме входящего сообщения, отличного от инструкции по голосованию (</w:t>
            </w:r>
            <w:proofErr w:type="spellStart"/>
            <w:r w:rsidRPr="00F317C3">
              <w:rPr>
                <w:sz w:val="16"/>
                <w:szCs w:val="16"/>
              </w:rPr>
              <w:t>MeetingInstruction</w:t>
            </w:r>
            <w:proofErr w:type="spellEnd"/>
            <w:r w:rsidRPr="00F317C3">
              <w:rPr>
                <w:sz w:val="16"/>
                <w:szCs w:val="16"/>
              </w:rPr>
              <w:t xml:space="preserve"> (seev.004.001.04)), используется элемент схемы </w:t>
            </w:r>
            <w:proofErr w:type="spellStart"/>
            <w:r w:rsidRPr="00F317C3">
              <w:rPr>
                <w:sz w:val="16"/>
                <w:szCs w:val="16"/>
              </w:rPr>
              <w:t>MessageReject</w:t>
            </w:r>
            <w:proofErr w:type="spellEnd"/>
            <w:r w:rsidRPr="00F317C3">
              <w:rPr>
                <w:sz w:val="16"/>
                <w:szCs w:val="16"/>
              </w:rPr>
              <w:t xml:space="preserve"> (admi.002.001.01).</w:t>
            </w:r>
          </w:p>
        </w:tc>
      </w:tr>
      <w:tr w:rsidR="00F317C3" w:rsidRPr="00F317C3" w:rsidTr="00F317C3">
        <w:tc>
          <w:tcPr>
            <w:tcW w:w="442" w:type="dxa"/>
          </w:tcPr>
          <w:p w:rsidR="00F317C3" w:rsidRPr="00F317C3" w:rsidRDefault="00F317C3" w:rsidP="00F317C3">
            <w:pPr>
              <w:pStyle w:val="a3"/>
              <w:numPr>
                <w:ilvl w:val="0"/>
                <w:numId w:val="1"/>
              </w:numPr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3102" w:type="dxa"/>
          </w:tcPr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Уведомление о системном событии / </w:t>
            </w:r>
            <w:proofErr w:type="spellStart"/>
            <w:r w:rsidRPr="00F317C3">
              <w:rPr>
                <w:sz w:val="16"/>
                <w:szCs w:val="16"/>
                <w:lang w:val="en-US"/>
              </w:rPr>
              <w:t>SystemEventNotification</w:t>
            </w:r>
            <w:proofErr w:type="spellEnd"/>
            <w:r w:rsidRPr="00F317C3">
              <w:rPr>
                <w:sz w:val="16"/>
                <w:szCs w:val="16"/>
              </w:rPr>
              <w:t xml:space="preserve"> (</w:t>
            </w:r>
            <w:proofErr w:type="spellStart"/>
            <w:r w:rsidRPr="00F317C3">
              <w:rPr>
                <w:sz w:val="16"/>
                <w:szCs w:val="16"/>
                <w:lang w:val="en-US"/>
              </w:rPr>
              <w:t>admi</w:t>
            </w:r>
            <w:proofErr w:type="spellEnd"/>
            <w:r w:rsidRPr="00F317C3">
              <w:rPr>
                <w:sz w:val="16"/>
                <w:szCs w:val="16"/>
              </w:rPr>
              <w:t>.004.001.01)</w:t>
            </w:r>
          </w:p>
        </w:tc>
        <w:tc>
          <w:tcPr>
            <w:tcW w:w="6525" w:type="dxa"/>
          </w:tcPr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Сообщение Уведомление о системном событии направляется центральной системой для уведомления о случившемся событии в центральной системе.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Использование.</w:t>
            </w:r>
          </w:p>
          <w:p w:rsid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Это сообщение может быть использовано центральной системой для информирования участников системы о событии, которое должно произойти в системе, например, что система будет недоступна в определенное время, и т.д.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SN041 Прием сообщения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Сообщение используется для оповещения отправителя о приеме сообщения.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>SN042 Сообщение о присвоении НРД ID ОСА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Сообщение используется для оповещения отправителя о присвоении НРД </w:t>
            </w:r>
            <w:proofErr w:type="spellStart"/>
            <w:r w:rsidRPr="00F317C3">
              <w:rPr>
                <w:sz w:val="16"/>
                <w:szCs w:val="16"/>
              </w:rPr>
              <w:t>референса</w:t>
            </w:r>
            <w:proofErr w:type="spellEnd"/>
            <w:r w:rsidRPr="00F317C3">
              <w:rPr>
                <w:sz w:val="16"/>
                <w:szCs w:val="16"/>
              </w:rPr>
              <w:t xml:space="preserve"> корпоративному действию, например, собранию </w:t>
            </w:r>
            <w:r w:rsidR="00072D0E">
              <w:rPr>
                <w:sz w:val="16"/>
                <w:szCs w:val="16"/>
              </w:rPr>
              <w:t>владельцев ценных бумаг</w:t>
            </w:r>
            <w:r w:rsidRPr="00F317C3">
              <w:rPr>
                <w:sz w:val="16"/>
                <w:szCs w:val="16"/>
              </w:rPr>
              <w:t>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Для направления извещения о присвоении собранию кода корпоративного действия, используется элемент схемы </w:t>
            </w:r>
            <w:proofErr w:type="spellStart"/>
            <w:r w:rsidRPr="00F317C3">
              <w:rPr>
                <w:sz w:val="16"/>
                <w:szCs w:val="16"/>
              </w:rPr>
              <w:t>SystemEventNotification</w:t>
            </w:r>
            <w:proofErr w:type="spellEnd"/>
            <w:r w:rsidRPr="00F317C3">
              <w:rPr>
                <w:sz w:val="16"/>
                <w:szCs w:val="16"/>
              </w:rPr>
              <w:t xml:space="preserve"> (admi.004.001.01).</w:t>
            </w:r>
          </w:p>
          <w:p w:rsidR="00F317C3" w:rsidRPr="00F317C3" w:rsidRDefault="00F317C3" w:rsidP="00F317C3">
            <w:pPr>
              <w:rPr>
                <w:sz w:val="16"/>
                <w:szCs w:val="16"/>
              </w:rPr>
            </w:pPr>
            <w:r w:rsidRPr="00F317C3">
              <w:rPr>
                <w:sz w:val="16"/>
                <w:szCs w:val="16"/>
              </w:rPr>
              <w:t xml:space="preserve">Извещение о присвоении кода КД собранию является ответным на сообщение </w:t>
            </w:r>
            <w:proofErr w:type="spellStart"/>
            <w:r w:rsidRPr="00F317C3">
              <w:rPr>
                <w:sz w:val="16"/>
                <w:szCs w:val="16"/>
              </w:rPr>
              <w:t>MeetingNotification</w:t>
            </w:r>
            <w:proofErr w:type="spellEnd"/>
            <w:r w:rsidRPr="00F317C3">
              <w:rPr>
                <w:sz w:val="16"/>
                <w:szCs w:val="16"/>
              </w:rPr>
              <w:t xml:space="preserve"> (seev.001.001.04).</w:t>
            </w:r>
          </w:p>
        </w:tc>
      </w:tr>
    </w:tbl>
    <w:p w:rsidR="00F317C3" w:rsidRDefault="00F317C3" w:rsidP="00735688">
      <w:pPr>
        <w:spacing w:after="0"/>
      </w:pPr>
    </w:p>
    <w:p w:rsidR="00646497" w:rsidRPr="00AB7838" w:rsidRDefault="00E92921" w:rsidP="0073568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B7838">
        <w:rPr>
          <w:rFonts w:ascii="Times New Roman" w:hAnsi="Times New Roman" w:cs="Times New Roman"/>
          <w:sz w:val="20"/>
          <w:szCs w:val="20"/>
        </w:rPr>
        <w:t xml:space="preserve">По каждому </w:t>
      </w:r>
      <w:r w:rsidR="00AA741C">
        <w:rPr>
          <w:rFonts w:ascii="Times New Roman" w:hAnsi="Times New Roman" w:cs="Times New Roman"/>
          <w:sz w:val="20"/>
          <w:szCs w:val="20"/>
        </w:rPr>
        <w:t xml:space="preserve">перечисленному </w:t>
      </w:r>
      <w:r w:rsidR="003705B6" w:rsidRPr="00AB7838">
        <w:rPr>
          <w:rFonts w:ascii="Times New Roman" w:hAnsi="Times New Roman" w:cs="Times New Roman"/>
          <w:sz w:val="20"/>
          <w:szCs w:val="20"/>
        </w:rPr>
        <w:t>сообщению</w:t>
      </w:r>
      <w:r w:rsidRPr="00AB7838">
        <w:rPr>
          <w:rFonts w:ascii="Times New Roman" w:hAnsi="Times New Roman" w:cs="Times New Roman"/>
          <w:sz w:val="20"/>
          <w:szCs w:val="20"/>
        </w:rPr>
        <w:t xml:space="preserve"> </w:t>
      </w:r>
      <w:r w:rsidR="008674F1">
        <w:rPr>
          <w:rFonts w:ascii="Times New Roman" w:hAnsi="Times New Roman" w:cs="Times New Roman"/>
          <w:sz w:val="20"/>
          <w:szCs w:val="20"/>
        </w:rPr>
        <w:t xml:space="preserve">в разрезе каждого КД </w:t>
      </w:r>
      <w:r w:rsidRPr="00AB7838">
        <w:rPr>
          <w:rFonts w:ascii="Times New Roman" w:hAnsi="Times New Roman" w:cs="Times New Roman"/>
          <w:sz w:val="20"/>
          <w:szCs w:val="20"/>
        </w:rPr>
        <w:t>представлено по два файла:</w:t>
      </w:r>
    </w:p>
    <w:p w:rsidR="00E92921" w:rsidRPr="00AB7838" w:rsidRDefault="00E92921" w:rsidP="0073568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AB7838">
        <w:rPr>
          <w:rFonts w:ascii="Times New Roman" w:hAnsi="Times New Roman" w:cs="Times New Roman"/>
          <w:sz w:val="20"/>
          <w:szCs w:val="20"/>
        </w:rPr>
        <w:t>Частная схема сообщения (</w:t>
      </w:r>
      <w:proofErr w:type="spellStart"/>
      <w:r w:rsidRPr="00AB7838">
        <w:rPr>
          <w:rFonts w:ascii="Times New Roman" w:hAnsi="Times New Roman" w:cs="Times New Roman"/>
          <w:sz w:val="20"/>
          <w:szCs w:val="20"/>
          <w:lang w:val="en-US"/>
        </w:rPr>
        <w:t>xsd</w:t>
      </w:r>
      <w:proofErr w:type="spellEnd"/>
      <w:r w:rsidRPr="00AB7838">
        <w:rPr>
          <w:rFonts w:ascii="Times New Roman" w:hAnsi="Times New Roman" w:cs="Times New Roman"/>
          <w:sz w:val="20"/>
          <w:szCs w:val="20"/>
        </w:rPr>
        <w:t>)</w:t>
      </w:r>
    </w:p>
    <w:p w:rsidR="00E92921" w:rsidRPr="00AB7838" w:rsidRDefault="00E92921" w:rsidP="00E87B4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AB7838">
        <w:rPr>
          <w:rFonts w:ascii="Times New Roman" w:hAnsi="Times New Roman" w:cs="Times New Roman"/>
          <w:sz w:val="20"/>
          <w:szCs w:val="20"/>
        </w:rPr>
        <w:t>Частная таблица полей сообщения (</w:t>
      </w:r>
      <w:proofErr w:type="spellStart"/>
      <w:r w:rsidRPr="00AB7838">
        <w:rPr>
          <w:rFonts w:ascii="Times New Roman" w:hAnsi="Times New Roman" w:cs="Times New Roman"/>
          <w:sz w:val="20"/>
          <w:szCs w:val="20"/>
        </w:rPr>
        <w:t>xlsx</w:t>
      </w:r>
      <w:proofErr w:type="spellEnd"/>
      <w:r w:rsidRPr="00AB7838">
        <w:rPr>
          <w:rFonts w:ascii="Times New Roman" w:hAnsi="Times New Roman" w:cs="Times New Roman"/>
          <w:sz w:val="20"/>
          <w:szCs w:val="20"/>
        </w:rPr>
        <w:t>)</w:t>
      </w:r>
      <w:r w:rsidR="003C0E1A" w:rsidRPr="00AB7838">
        <w:rPr>
          <w:rFonts w:ascii="Times New Roman" w:hAnsi="Times New Roman" w:cs="Times New Roman"/>
          <w:sz w:val="20"/>
          <w:szCs w:val="20"/>
        </w:rPr>
        <w:t xml:space="preserve"> – содержит блок сообщения */</w:t>
      </w:r>
      <w:proofErr w:type="spellStart"/>
      <w:r w:rsidR="003C0E1A" w:rsidRPr="00AB7838">
        <w:rPr>
          <w:rFonts w:ascii="Times New Roman" w:hAnsi="Times New Roman" w:cs="Times New Roman"/>
          <w:sz w:val="20"/>
          <w:szCs w:val="20"/>
        </w:rPr>
        <w:t>Document</w:t>
      </w:r>
      <w:proofErr w:type="spellEnd"/>
      <w:r w:rsidR="003C0E1A" w:rsidRPr="00AB7838">
        <w:rPr>
          <w:rFonts w:ascii="Times New Roman" w:hAnsi="Times New Roman" w:cs="Times New Roman"/>
          <w:sz w:val="20"/>
          <w:szCs w:val="20"/>
        </w:rPr>
        <w:t>/*, блок сообщения */</w:t>
      </w:r>
      <w:proofErr w:type="spellStart"/>
      <w:r w:rsidR="003C0E1A" w:rsidRPr="00AB7838">
        <w:rPr>
          <w:rFonts w:ascii="Times New Roman" w:hAnsi="Times New Roman" w:cs="Times New Roman"/>
          <w:sz w:val="20"/>
          <w:szCs w:val="20"/>
        </w:rPr>
        <w:t>AppHdr</w:t>
      </w:r>
      <w:proofErr w:type="spellEnd"/>
      <w:r w:rsidR="003C0E1A" w:rsidRPr="00AB7838">
        <w:rPr>
          <w:rFonts w:ascii="Times New Roman" w:hAnsi="Times New Roman" w:cs="Times New Roman"/>
          <w:sz w:val="20"/>
          <w:szCs w:val="20"/>
        </w:rPr>
        <w:t>/* публикуется как отдельная таблица</w:t>
      </w:r>
      <w:r w:rsidR="00E87B49" w:rsidRPr="00AB7838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E87B49" w:rsidRPr="00AB7838">
        <w:rPr>
          <w:rFonts w:ascii="Times New Roman" w:hAnsi="Times New Roman" w:cs="Times New Roman"/>
          <w:sz w:val="20"/>
          <w:szCs w:val="20"/>
          <w:lang w:val="en-US"/>
        </w:rPr>
        <w:t>iso</w:t>
      </w:r>
      <w:proofErr w:type="spellEnd"/>
      <w:r w:rsidR="00E87B49" w:rsidRPr="00AB7838">
        <w:rPr>
          <w:rFonts w:ascii="Times New Roman" w:hAnsi="Times New Roman" w:cs="Times New Roman"/>
          <w:sz w:val="20"/>
          <w:szCs w:val="20"/>
        </w:rPr>
        <w:t>20022_</w:t>
      </w:r>
      <w:r w:rsidR="00E87B49" w:rsidRPr="00AB7838">
        <w:rPr>
          <w:rFonts w:ascii="Times New Roman" w:hAnsi="Times New Roman" w:cs="Times New Roman"/>
          <w:sz w:val="20"/>
          <w:szCs w:val="20"/>
          <w:lang w:val="en-US"/>
        </w:rPr>
        <w:t>BAH</w:t>
      </w:r>
      <w:r w:rsidR="00E87B49" w:rsidRPr="00AB7838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="00E87B49" w:rsidRPr="00AB7838">
        <w:rPr>
          <w:rFonts w:ascii="Times New Roman" w:hAnsi="Times New Roman" w:cs="Times New Roman"/>
          <w:sz w:val="20"/>
          <w:szCs w:val="20"/>
          <w:lang w:val="en-US"/>
        </w:rPr>
        <w:t>xlsx</w:t>
      </w:r>
      <w:proofErr w:type="spellEnd"/>
      <w:r w:rsidR="00E87B49" w:rsidRPr="00AB7838">
        <w:rPr>
          <w:rFonts w:ascii="Times New Roman" w:hAnsi="Times New Roman" w:cs="Times New Roman"/>
          <w:sz w:val="20"/>
          <w:szCs w:val="20"/>
        </w:rPr>
        <w:t>)</w:t>
      </w:r>
      <w:r w:rsidR="003705B6" w:rsidRPr="00AB7838">
        <w:rPr>
          <w:rFonts w:ascii="Times New Roman" w:hAnsi="Times New Roman" w:cs="Times New Roman"/>
          <w:sz w:val="20"/>
          <w:szCs w:val="20"/>
        </w:rPr>
        <w:t>, относящаяся ко всем сообщениям и не зависящая от типа КД</w:t>
      </w:r>
      <w:r w:rsidR="003C0E1A" w:rsidRPr="00AB7838">
        <w:rPr>
          <w:rFonts w:ascii="Times New Roman" w:hAnsi="Times New Roman" w:cs="Times New Roman"/>
          <w:sz w:val="20"/>
          <w:szCs w:val="20"/>
        </w:rPr>
        <w:t>.</w:t>
      </w:r>
    </w:p>
    <w:p w:rsidR="003705B6" w:rsidRPr="00AB7838" w:rsidRDefault="003705B6" w:rsidP="0073568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92921" w:rsidRPr="00AB7838" w:rsidRDefault="00E92921" w:rsidP="0073568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B7838">
        <w:rPr>
          <w:rFonts w:ascii="Times New Roman" w:hAnsi="Times New Roman" w:cs="Times New Roman"/>
          <w:sz w:val="20"/>
          <w:szCs w:val="20"/>
        </w:rPr>
        <w:t xml:space="preserve">Легенда файла </w:t>
      </w:r>
      <w:proofErr w:type="spellStart"/>
      <w:r w:rsidRPr="00AB7838">
        <w:rPr>
          <w:rFonts w:ascii="Times New Roman" w:hAnsi="Times New Roman" w:cs="Times New Roman"/>
          <w:sz w:val="20"/>
          <w:szCs w:val="20"/>
        </w:rPr>
        <w:t>xlsx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4677"/>
        <w:gridCol w:w="3793"/>
      </w:tblGrid>
      <w:tr w:rsidR="00E92921" w:rsidRPr="00BB4525" w:rsidTr="00BB4525">
        <w:trPr>
          <w:trHeight w:val="300"/>
          <w:tblHeader/>
        </w:trPr>
        <w:tc>
          <w:tcPr>
            <w:tcW w:w="1101" w:type="dxa"/>
            <w:shd w:val="clear" w:color="auto" w:fill="auto"/>
          </w:tcPr>
          <w:p w:rsidR="00E92921" w:rsidRPr="00BB4525" w:rsidRDefault="00E92921" w:rsidP="0073568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BB4525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Название столбца</w:t>
            </w:r>
          </w:p>
        </w:tc>
        <w:tc>
          <w:tcPr>
            <w:tcW w:w="4677" w:type="dxa"/>
            <w:shd w:val="clear" w:color="auto" w:fill="auto"/>
          </w:tcPr>
          <w:p w:rsidR="00E92921" w:rsidRPr="00BB4525" w:rsidRDefault="00E92921" w:rsidP="0073568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BB4525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Содержание столбца </w:t>
            </w:r>
            <w:r w:rsidRPr="00BB4525"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  <w:t>Excel</w:t>
            </w:r>
          </w:p>
        </w:tc>
        <w:tc>
          <w:tcPr>
            <w:tcW w:w="3793" w:type="dxa"/>
          </w:tcPr>
          <w:p w:rsidR="00E92921" w:rsidRPr="00BB4525" w:rsidRDefault="00E92921" w:rsidP="0073568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BB4525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Примечание</w:t>
            </w:r>
          </w:p>
        </w:tc>
      </w:tr>
      <w:tr w:rsidR="00E92921" w:rsidRPr="00AB7838" w:rsidTr="00BB4525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BB4525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B4525">
              <w:rPr>
                <w:rFonts w:ascii="Times New Roman" w:hAnsi="Times New Roman" w:cs="Times New Roman"/>
                <w:sz w:val="16"/>
                <w:szCs w:val="16"/>
              </w:rPr>
              <w:t>№ 2</w:t>
            </w:r>
          </w:p>
        </w:tc>
        <w:tc>
          <w:tcPr>
            <w:tcW w:w="4677" w:type="dxa"/>
            <w:shd w:val="clear" w:color="auto" w:fill="auto"/>
            <w:hideMark/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 xml:space="preserve">Номер поля в конкретном документе </w:t>
            </w:r>
          </w:p>
        </w:tc>
        <w:tc>
          <w:tcPr>
            <w:tcW w:w="3793" w:type="dxa"/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Номер по порядку формируется автоматически в пределах полей одного сообщения</w:t>
            </w:r>
          </w:p>
        </w:tc>
      </w:tr>
      <w:tr w:rsidR="00E92921" w:rsidRPr="00AB7838" w:rsidTr="00BB4525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BB4525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B4525">
              <w:rPr>
                <w:rFonts w:ascii="Times New Roman" w:hAnsi="Times New Roman" w:cs="Times New Roman"/>
                <w:sz w:val="16"/>
                <w:szCs w:val="16"/>
              </w:rPr>
              <w:t>Поле</w:t>
            </w:r>
          </w:p>
        </w:tc>
        <w:tc>
          <w:tcPr>
            <w:tcW w:w="4677" w:type="dxa"/>
            <w:shd w:val="clear" w:color="auto" w:fill="auto"/>
            <w:hideMark/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Название тэга в схеме документов (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xsd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93" w:type="dxa"/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xsd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из тэга, отмеченное красным цветом: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xsd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element</w:t>
            </w: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name</w:t>
            </w: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="</w:t>
            </w:r>
            <w:proofErr w:type="spellStart"/>
            <w:r w:rsidRPr="00AB7838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en-US"/>
              </w:rPr>
              <w:t>SctiesBlckgDdln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type</w:t>
            </w: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="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DateFormat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Choice</w:t>
            </w: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minOccurs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="0"</w:t>
            </w:r>
          </w:p>
        </w:tc>
      </w:tr>
      <w:tr w:rsidR="00E92921" w:rsidRPr="002A54C7" w:rsidTr="00BB4525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BB4525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B4525">
              <w:rPr>
                <w:rFonts w:ascii="Times New Roman" w:hAnsi="Times New Roman" w:cs="Times New Roman"/>
                <w:sz w:val="16"/>
                <w:szCs w:val="16"/>
              </w:rPr>
              <w:t>Название</w:t>
            </w:r>
          </w:p>
        </w:tc>
        <w:tc>
          <w:tcPr>
            <w:tcW w:w="4677" w:type="dxa"/>
            <w:shd w:val="clear" w:color="auto" w:fill="auto"/>
            <w:hideMark/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Название поля на русском и английском языках, так, как это отображается в схеме документов (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xsd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793" w:type="dxa"/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xsd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&lt;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xsd:documentation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source="MDR" 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xml:lang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="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RusEng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"&gt;</w:t>
            </w:r>
          </w:p>
        </w:tc>
      </w:tr>
      <w:tr w:rsidR="00E92921" w:rsidRPr="002A54C7" w:rsidTr="00BB4525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BB4525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B45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Описание</w:t>
            </w:r>
          </w:p>
        </w:tc>
        <w:tc>
          <w:tcPr>
            <w:tcW w:w="4677" w:type="dxa"/>
            <w:shd w:val="clear" w:color="auto" w:fill="auto"/>
            <w:hideMark/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Русский перевод пояснения официального документа MDR, размещенного на сайте ISO20022</w:t>
            </w:r>
          </w:p>
        </w:tc>
        <w:tc>
          <w:tcPr>
            <w:tcW w:w="3793" w:type="dxa"/>
          </w:tcPr>
          <w:p w:rsidR="00E92921" w:rsidRPr="00AB7838" w:rsidRDefault="00735688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xsd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E92921"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</w:t>
            </w:r>
            <w:proofErr w:type="spellStart"/>
            <w:r w:rsidR="00E92921"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xsd:documentation</w:t>
            </w:r>
            <w:proofErr w:type="spellEnd"/>
            <w:r w:rsidR="00E92921"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source="MDR" </w:t>
            </w:r>
            <w:proofErr w:type="spellStart"/>
            <w:r w:rsidR="00E92921"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xml:lang</w:t>
            </w:r>
            <w:proofErr w:type="spellEnd"/>
            <w:r w:rsidR="00E92921"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="</w:t>
            </w:r>
            <w:proofErr w:type="spellStart"/>
            <w:r w:rsidR="00E92921"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Rus</w:t>
            </w:r>
            <w:proofErr w:type="spellEnd"/>
            <w:r w:rsidR="00E92921"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"&gt;</w:t>
            </w:r>
          </w:p>
        </w:tc>
      </w:tr>
      <w:tr w:rsidR="00E92921" w:rsidRPr="00AB7838" w:rsidTr="00BB4525">
        <w:trPr>
          <w:trHeight w:val="600"/>
        </w:trPr>
        <w:tc>
          <w:tcPr>
            <w:tcW w:w="1101" w:type="dxa"/>
            <w:shd w:val="clear" w:color="auto" w:fill="auto"/>
            <w:hideMark/>
          </w:tcPr>
          <w:p w:rsidR="00E92921" w:rsidRPr="00BB4525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B4525">
              <w:rPr>
                <w:rFonts w:ascii="Times New Roman" w:hAnsi="Times New Roman" w:cs="Times New Roman"/>
                <w:sz w:val="16"/>
                <w:szCs w:val="16"/>
              </w:rPr>
              <w:t>Обязательность</w:t>
            </w:r>
          </w:p>
        </w:tc>
        <w:tc>
          <w:tcPr>
            <w:tcW w:w="4677" w:type="dxa"/>
            <w:shd w:val="clear" w:color="auto" w:fill="auto"/>
            <w:hideMark/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Минимальное и максимальное количество повторов элемента. Например, если указано 0-1, то этого поля может не быть в документе или это поле может повторяться один раз. Если в поле указано значение 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unbounded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, то количество повторов этого поля схемой не ограничено.</w:t>
            </w:r>
          </w:p>
        </w:tc>
        <w:tc>
          <w:tcPr>
            <w:tcW w:w="3793" w:type="dxa"/>
          </w:tcPr>
          <w:p w:rsidR="00E92921" w:rsidRPr="00AB7838" w:rsidRDefault="00E92921" w:rsidP="00AA741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Минимальное и максимальное количество повторов элементов (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minOccurs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maxOccurs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A741C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="00AA741C" w:rsidRPr="00AB78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A741C"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xsd</w:t>
            </w:r>
            <w:proofErr w:type="spellEnd"/>
            <w:r w:rsidR="00AA741C" w:rsidRPr="00AB78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92921" w:rsidRPr="002A54C7" w:rsidTr="00BB4525">
        <w:trPr>
          <w:trHeight w:val="600"/>
        </w:trPr>
        <w:tc>
          <w:tcPr>
            <w:tcW w:w="1101" w:type="dxa"/>
            <w:shd w:val="clear" w:color="auto" w:fill="auto"/>
            <w:hideMark/>
          </w:tcPr>
          <w:p w:rsidR="00E92921" w:rsidRPr="00BB4525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B4525">
              <w:rPr>
                <w:rFonts w:ascii="Times New Roman" w:hAnsi="Times New Roman" w:cs="Times New Roman"/>
                <w:sz w:val="16"/>
                <w:szCs w:val="16"/>
              </w:rPr>
              <w:t>Тип или справочник</w:t>
            </w:r>
          </w:p>
        </w:tc>
        <w:tc>
          <w:tcPr>
            <w:tcW w:w="4677" w:type="dxa"/>
            <w:shd w:val="clear" w:color="auto" w:fill="auto"/>
            <w:hideMark/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Указываются ограничения на заполнение этого поля. Если это поле является справочником, то приводятся все значения справочника (четыре заглавные английские буквы) с расшифровкой значений.</w:t>
            </w:r>
          </w:p>
        </w:tc>
        <w:tc>
          <w:tcPr>
            <w:tcW w:w="3793" w:type="dxa"/>
          </w:tcPr>
          <w:p w:rsidR="00E92921" w:rsidRPr="00AA741C" w:rsidRDefault="00735688" w:rsidP="0073568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AA741C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spellStart"/>
            <w:r w:rsidRPr="00AA741C">
              <w:rPr>
                <w:rFonts w:ascii="Times New Roman" w:hAnsi="Times New Roman" w:cs="Times New Roman"/>
                <w:sz w:val="18"/>
                <w:szCs w:val="20"/>
              </w:rPr>
              <w:t>xsd</w:t>
            </w:r>
            <w:proofErr w:type="spellEnd"/>
            <w:r w:rsidRPr="00AA741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E92921" w:rsidRPr="00AA741C">
              <w:rPr>
                <w:rFonts w:ascii="Times New Roman" w:hAnsi="Times New Roman" w:cs="Times New Roman"/>
                <w:sz w:val="18"/>
                <w:szCs w:val="20"/>
              </w:rPr>
              <w:t>Значение из тэга, отмеченное красным цветом:</w:t>
            </w:r>
          </w:p>
          <w:p w:rsidR="00E92921" w:rsidRPr="00AA741C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20"/>
                <w:lang w:val="en-US"/>
              </w:rPr>
            </w:pPr>
            <w:proofErr w:type="spellStart"/>
            <w:r w:rsidRPr="00AA741C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xsd:element</w:t>
            </w:r>
            <w:proofErr w:type="spellEnd"/>
            <w:r w:rsidRPr="00AA741C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 name="</w:t>
            </w:r>
            <w:proofErr w:type="spellStart"/>
            <w:r w:rsidRPr="00AA741C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SctiesBlckgDdln</w:t>
            </w:r>
            <w:proofErr w:type="spellEnd"/>
            <w:r w:rsidRPr="00AA741C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" type="</w:t>
            </w:r>
            <w:r w:rsidRPr="00AA741C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20"/>
                <w:lang w:val="en-US"/>
              </w:rPr>
              <w:t>DateFormat2Choice</w:t>
            </w:r>
            <w:r w:rsidRPr="00AA741C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" </w:t>
            </w:r>
            <w:proofErr w:type="spellStart"/>
            <w:r w:rsidRPr="00AA741C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minOccurs</w:t>
            </w:r>
            <w:proofErr w:type="spellEnd"/>
            <w:r w:rsidRPr="00AA741C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="0"</w:t>
            </w:r>
          </w:p>
          <w:p w:rsidR="00E92921" w:rsidRPr="00AA741C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AA741C">
              <w:rPr>
                <w:rFonts w:ascii="Times New Roman" w:hAnsi="Times New Roman" w:cs="Times New Roman"/>
                <w:sz w:val="18"/>
                <w:szCs w:val="20"/>
              </w:rPr>
              <w:t xml:space="preserve">если в поле есть </w:t>
            </w:r>
            <w:proofErr w:type="spellStart"/>
            <w:r w:rsidRPr="00AA741C">
              <w:rPr>
                <w:rFonts w:ascii="Times New Roman" w:hAnsi="Times New Roman" w:cs="Times New Roman"/>
                <w:sz w:val="18"/>
                <w:szCs w:val="20"/>
              </w:rPr>
              <w:t>enumeration</w:t>
            </w:r>
            <w:proofErr w:type="spellEnd"/>
            <w:r w:rsidRPr="00AA741C">
              <w:rPr>
                <w:rFonts w:ascii="Times New Roman" w:hAnsi="Times New Roman" w:cs="Times New Roman"/>
                <w:sz w:val="18"/>
                <w:szCs w:val="20"/>
              </w:rPr>
              <w:t xml:space="preserve">, то в виде списка (с буллитами) выводятся все значения </w:t>
            </w:r>
            <w:proofErr w:type="spellStart"/>
            <w:r w:rsidRPr="00AA741C">
              <w:rPr>
                <w:rFonts w:ascii="Times New Roman" w:hAnsi="Times New Roman" w:cs="Times New Roman"/>
                <w:sz w:val="18"/>
                <w:szCs w:val="20"/>
              </w:rPr>
              <w:t>enumeration</w:t>
            </w:r>
            <w:proofErr w:type="spellEnd"/>
            <w:r w:rsidRPr="00AA741C">
              <w:rPr>
                <w:rFonts w:ascii="Times New Roman" w:hAnsi="Times New Roman" w:cs="Times New Roman"/>
                <w:sz w:val="18"/>
                <w:szCs w:val="20"/>
              </w:rPr>
              <w:t>:</w:t>
            </w:r>
          </w:p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741C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&lt;</w:t>
            </w:r>
            <w:proofErr w:type="spellStart"/>
            <w:r w:rsidRPr="00AA741C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xsd:enumeration</w:t>
            </w:r>
            <w:proofErr w:type="spellEnd"/>
            <w:r w:rsidRPr="00AA741C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 value="WQPS"&gt; - &lt;</w:t>
            </w:r>
            <w:proofErr w:type="spellStart"/>
            <w:r w:rsidRPr="00AA741C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xsd:documentation</w:t>
            </w:r>
            <w:proofErr w:type="spellEnd"/>
            <w:r w:rsidRPr="00AA741C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 xml:space="preserve"> source="PRNT" </w:t>
            </w:r>
            <w:proofErr w:type="spellStart"/>
            <w:r w:rsidRPr="00AA741C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xml:lang</w:t>
            </w:r>
            <w:proofErr w:type="spellEnd"/>
            <w:r w:rsidRPr="00AA741C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="</w:t>
            </w:r>
            <w:proofErr w:type="spellStart"/>
            <w:r w:rsidRPr="00AA741C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Rus</w:t>
            </w:r>
            <w:proofErr w:type="spellEnd"/>
            <w:r w:rsidRPr="00AA741C">
              <w:rPr>
                <w:rFonts w:ascii="Times New Roman" w:hAnsi="Times New Roman" w:cs="Times New Roman"/>
                <w:sz w:val="18"/>
                <w:szCs w:val="20"/>
                <w:lang w:val="en-US"/>
              </w:rPr>
              <w:t>"&gt;</w:t>
            </w:r>
          </w:p>
        </w:tc>
      </w:tr>
      <w:tr w:rsidR="00E92921" w:rsidRPr="00AB7838" w:rsidTr="00BB4525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BB4525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B4525">
              <w:rPr>
                <w:rFonts w:ascii="Times New Roman" w:hAnsi="Times New Roman" w:cs="Times New Roman"/>
                <w:sz w:val="16"/>
                <w:szCs w:val="16"/>
              </w:rPr>
              <w:t>Тэг 15022</w:t>
            </w:r>
          </w:p>
        </w:tc>
        <w:tc>
          <w:tcPr>
            <w:tcW w:w="4677" w:type="dxa"/>
            <w:shd w:val="clear" w:color="auto" w:fill="auto"/>
            <w:hideMark/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Название идентификатора поля в ISO 15022</w:t>
            </w:r>
          </w:p>
        </w:tc>
        <w:tc>
          <w:tcPr>
            <w:tcW w:w="3793" w:type="dxa"/>
          </w:tcPr>
          <w:p w:rsidR="00E92921" w:rsidRPr="00367684" w:rsidRDefault="00367684" w:rsidP="0036768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Может отсутствовать</w:t>
            </w:r>
          </w:p>
        </w:tc>
      </w:tr>
      <w:tr w:rsidR="00E92921" w:rsidRPr="00AB7838" w:rsidTr="00BB4525">
        <w:trPr>
          <w:trHeight w:val="37"/>
        </w:trPr>
        <w:tc>
          <w:tcPr>
            <w:tcW w:w="1101" w:type="dxa"/>
            <w:shd w:val="clear" w:color="auto" w:fill="auto"/>
            <w:hideMark/>
          </w:tcPr>
          <w:p w:rsidR="00E92921" w:rsidRPr="00BB4525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B4525">
              <w:rPr>
                <w:rFonts w:ascii="Times New Roman" w:hAnsi="Times New Roman" w:cs="Times New Roman"/>
                <w:sz w:val="16"/>
                <w:szCs w:val="16"/>
              </w:rPr>
              <w:t>Применимость в НРД</w:t>
            </w:r>
          </w:p>
        </w:tc>
        <w:tc>
          <w:tcPr>
            <w:tcW w:w="4677" w:type="dxa"/>
            <w:shd w:val="clear" w:color="auto" w:fill="auto"/>
            <w:hideMark/>
          </w:tcPr>
          <w:p w:rsidR="00735688" w:rsidRPr="00AB7838" w:rsidRDefault="00E92921" w:rsidP="007356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Возможны</w:t>
            </w:r>
            <w:r w:rsidR="00735688" w:rsidRPr="00AB783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 xml:space="preserve"> значения:</w:t>
            </w:r>
            <w:r w:rsidRPr="00AB783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AB78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ncf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 xml:space="preserve"> - означает, что </w:t>
            </w:r>
            <w:r w:rsidR="00735688" w:rsidRPr="00AB7838">
              <w:rPr>
                <w:rFonts w:ascii="Times New Roman" w:hAnsi="Times New Roman" w:cs="Times New Roman"/>
                <w:sz w:val="20"/>
                <w:szCs w:val="20"/>
              </w:rPr>
              <w:t>поле не применяется</w:t>
            </w:r>
          </w:p>
          <w:p w:rsidR="00E92921" w:rsidRPr="00AB7838" w:rsidRDefault="00E92921" w:rsidP="0073568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B78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mre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 xml:space="preserve"> - означает обязательность указания поля/блока в сообщениях НКО ЗАО НРД</w:t>
            </w:r>
          </w:p>
          <w:p w:rsidR="00735688" w:rsidRPr="00AB7838" w:rsidRDefault="00735688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opt</w:t>
            </w: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 xml:space="preserve"> – означает, что  поле применяется как необязательное</w:t>
            </w:r>
          </w:p>
        </w:tc>
        <w:tc>
          <w:tcPr>
            <w:tcW w:w="3793" w:type="dxa"/>
          </w:tcPr>
          <w:p w:rsidR="00E92921" w:rsidRDefault="00AA741C" w:rsidP="00AA741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Если в поле «</w:t>
            </w:r>
            <w:r w:rsidRPr="00AA741C">
              <w:rPr>
                <w:rFonts w:ascii="Times New Roman" w:hAnsi="Times New Roman" w:cs="Times New Roman"/>
                <w:sz w:val="20"/>
                <w:szCs w:val="20"/>
              </w:rPr>
              <w:t>Обязательность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установлено значение «1-*», то наличие или отсутствие признака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mre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изменяет требования, определенного в поле «</w:t>
            </w:r>
            <w:r w:rsidRPr="00AA741C">
              <w:rPr>
                <w:rFonts w:ascii="Times New Roman" w:hAnsi="Times New Roman" w:cs="Times New Roman"/>
                <w:sz w:val="20"/>
                <w:szCs w:val="20"/>
              </w:rPr>
              <w:t>Обязательность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AA741C" w:rsidRPr="00AA741C" w:rsidRDefault="00AA741C" w:rsidP="00BB452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Если в поле «</w:t>
            </w:r>
            <w:r w:rsidRPr="00AA741C">
              <w:rPr>
                <w:rFonts w:ascii="Times New Roman" w:hAnsi="Times New Roman" w:cs="Times New Roman"/>
                <w:sz w:val="20"/>
                <w:szCs w:val="20"/>
              </w:rPr>
              <w:t>Обязательность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установлено значение «0-*», то наличие признака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mre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указывает, что поле обязательное для заполнения.</w:t>
            </w:r>
          </w:p>
        </w:tc>
      </w:tr>
      <w:tr w:rsidR="00E92921" w:rsidRPr="00AB7838" w:rsidTr="00BB4525">
        <w:trPr>
          <w:trHeight w:val="6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21" w:rsidRPr="00BB4525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B4525">
              <w:rPr>
                <w:rFonts w:ascii="Times New Roman" w:hAnsi="Times New Roman" w:cs="Times New Roman"/>
                <w:sz w:val="16"/>
                <w:szCs w:val="16"/>
              </w:rPr>
              <w:t>default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Константа, которой может заполняться поле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2921" w:rsidRPr="00AB7838" w:rsidTr="00BB4525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BB4525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B4525">
              <w:rPr>
                <w:rFonts w:ascii="Times New Roman" w:hAnsi="Times New Roman" w:cs="Times New Roman"/>
                <w:sz w:val="16"/>
                <w:szCs w:val="16"/>
              </w:rPr>
              <w:t>Пояснения НРД</w:t>
            </w:r>
          </w:p>
        </w:tc>
        <w:tc>
          <w:tcPr>
            <w:tcW w:w="4677" w:type="dxa"/>
            <w:shd w:val="clear" w:color="auto" w:fill="auto"/>
            <w:hideMark/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Пояснения по использованию поля в корпоративной системе НРД</w:t>
            </w:r>
          </w:p>
        </w:tc>
        <w:tc>
          <w:tcPr>
            <w:tcW w:w="3793" w:type="dxa"/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2921" w:rsidRPr="002A54C7" w:rsidTr="00BB4525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92921" w:rsidRPr="00BB4525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B4525">
              <w:rPr>
                <w:rFonts w:ascii="Times New Roman" w:hAnsi="Times New Roman" w:cs="Times New Roman"/>
                <w:sz w:val="16"/>
                <w:szCs w:val="16"/>
              </w:rPr>
              <w:t>xpath</w:t>
            </w:r>
            <w:proofErr w:type="spellEnd"/>
          </w:p>
        </w:tc>
        <w:tc>
          <w:tcPr>
            <w:tcW w:w="4677" w:type="dxa"/>
            <w:shd w:val="clear" w:color="auto" w:fill="auto"/>
            <w:hideMark/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 xml:space="preserve">Полный путь к полю (тэгу) в 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xml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-документе.</w:t>
            </w:r>
          </w:p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3" w:type="dxa"/>
          </w:tcPr>
          <w:p w:rsidR="00735688" w:rsidRPr="00AB7838" w:rsidRDefault="00735688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Пример</w:t>
            </w:r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E92921" w:rsidRPr="00AB7838" w:rsidRDefault="00735688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CorporateActionNotification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/Document/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CorpActnNtfctn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Pgntn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PgNb</w:t>
            </w:r>
            <w:proofErr w:type="spellEnd"/>
          </w:p>
        </w:tc>
      </w:tr>
      <w:tr w:rsidR="00E92921" w:rsidRPr="00AB7838" w:rsidTr="00BB4525">
        <w:trPr>
          <w:trHeight w:val="300"/>
        </w:trPr>
        <w:tc>
          <w:tcPr>
            <w:tcW w:w="1101" w:type="dxa"/>
            <w:shd w:val="clear" w:color="auto" w:fill="auto"/>
          </w:tcPr>
          <w:p w:rsidR="00E92921" w:rsidRPr="00BB4525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B4525">
              <w:rPr>
                <w:rFonts w:ascii="Times New Roman" w:hAnsi="Times New Roman" w:cs="Times New Roman"/>
                <w:sz w:val="16"/>
                <w:szCs w:val="16"/>
              </w:rPr>
              <w:t xml:space="preserve">рус </w:t>
            </w:r>
            <w:proofErr w:type="spellStart"/>
            <w:r w:rsidRPr="00BB4525">
              <w:rPr>
                <w:rFonts w:ascii="Times New Roman" w:hAnsi="Times New Roman" w:cs="Times New Roman"/>
                <w:sz w:val="16"/>
                <w:szCs w:val="16"/>
              </w:rPr>
              <w:t>xpath</w:t>
            </w:r>
            <w:proofErr w:type="spellEnd"/>
          </w:p>
        </w:tc>
        <w:tc>
          <w:tcPr>
            <w:tcW w:w="4677" w:type="dxa"/>
            <w:shd w:val="clear" w:color="auto" w:fill="auto"/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Xpath</w:t>
            </w:r>
            <w:proofErr w:type="spellEnd"/>
            <w:r w:rsidRPr="00AB7838">
              <w:rPr>
                <w:rFonts w:ascii="Times New Roman" w:hAnsi="Times New Roman" w:cs="Times New Roman"/>
                <w:sz w:val="20"/>
                <w:szCs w:val="20"/>
              </w:rPr>
              <w:t xml:space="preserve"> к элементу схемы, где вместо наименования тэга информация из аннотации на русском языке</w:t>
            </w:r>
          </w:p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Пример:</w:t>
            </w:r>
          </w:p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7838">
              <w:rPr>
                <w:rFonts w:ascii="Times New Roman" w:hAnsi="Times New Roman" w:cs="Times New Roman"/>
                <w:sz w:val="20"/>
                <w:szCs w:val="20"/>
              </w:rPr>
              <w:t>БС: Сообщение о проведении общего собрания/Сообщение Уведомление о проведении собрания/Содержание Уведомление о проведении собрания/Детали собрания/Дата и время/Дата и время</w:t>
            </w:r>
          </w:p>
        </w:tc>
        <w:tc>
          <w:tcPr>
            <w:tcW w:w="3793" w:type="dxa"/>
          </w:tcPr>
          <w:p w:rsidR="00E92921" w:rsidRPr="00AB7838" w:rsidRDefault="00E92921" w:rsidP="0073568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92921" w:rsidRDefault="00E92921" w:rsidP="00735688">
      <w:pPr>
        <w:spacing w:after="0"/>
      </w:pPr>
    </w:p>
    <w:sectPr w:rsidR="00E92921" w:rsidSect="00F317C3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DCC" w:rsidRDefault="00903DCC" w:rsidP="00E92921">
      <w:pPr>
        <w:spacing w:after="0" w:line="240" w:lineRule="auto"/>
      </w:pPr>
      <w:r>
        <w:separator/>
      </w:r>
    </w:p>
  </w:endnote>
  <w:endnote w:type="continuationSeparator" w:id="0">
    <w:p w:rsidR="00903DCC" w:rsidRDefault="00903DCC" w:rsidP="00E92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7842940"/>
      <w:docPartObj>
        <w:docPartGallery w:val="Page Numbers (Bottom of Page)"/>
        <w:docPartUnique/>
      </w:docPartObj>
    </w:sdtPr>
    <w:sdtEndPr/>
    <w:sdtContent>
      <w:p w:rsidR="00E92921" w:rsidRDefault="00E9292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063">
          <w:rPr>
            <w:noProof/>
          </w:rPr>
          <w:t>1</w:t>
        </w:r>
        <w:r>
          <w:fldChar w:fldCharType="end"/>
        </w:r>
      </w:p>
    </w:sdtContent>
  </w:sdt>
  <w:p w:rsidR="00E92921" w:rsidRDefault="00E9292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DCC" w:rsidRDefault="00903DCC" w:rsidP="00E92921">
      <w:pPr>
        <w:spacing w:after="0" w:line="240" w:lineRule="auto"/>
      </w:pPr>
      <w:r>
        <w:separator/>
      </w:r>
    </w:p>
  </w:footnote>
  <w:footnote w:type="continuationSeparator" w:id="0">
    <w:p w:rsidR="00903DCC" w:rsidRDefault="00903DCC" w:rsidP="00E92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5B6" w:rsidRPr="003705B6" w:rsidRDefault="003705B6" w:rsidP="003705B6">
    <w:pPr>
      <w:pStyle w:val="a5"/>
      <w:jc w:val="right"/>
      <w:rPr>
        <w:i/>
        <w:sz w:val="16"/>
        <w:szCs w:val="16"/>
      </w:rPr>
    </w:pPr>
    <w:r w:rsidRPr="003705B6">
      <w:rPr>
        <w:i/>
        <w:sz w:val="16"/>
        <w:szCs w:val="16"/>
      </w:rPr>
      <w:t xml:space="preserve">Перечень сообщений ISO 20022 для </w:t>
    </w:r>
    <w:r w:rsidR="008674F1" w:rsidRPr="008674F1">
      <w:rPr>
        <w:i/>
        <w:sz w:val="16"/>
        <w:szCs w:val="16"/>
      </w:rPr>
      <w:t>MEET, XMET, BMET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10455"/>
    <w:multiLevelType w:val="hybridMultilevel"/>
    <w:tmpl w:val="C2EEA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4A2BFC"/>
    <w:multiLevelType w:val="hybridMultilevel"/>
    <w:tmpl w:val="180259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5F6"/>
    <w:rsid w:val="00072D0E"/>
    <w:rsid w:val="0011441A"/>
    <w:rsid w:val="0022515C"/>
    <w:rsid w:val="002A54C7"/>
    <w:rsid w:val="003217F9"/>
    <w:rsid w:val="00367684"/>
    <w:rsid w:val="003705B6"/>
    <w:rsid w:val="003C0E1A"/>
    <w:rsid w:val="00646497"/>
    <w:rsid w:val="00703E10"/>
    <w:rsid w:val="00735688"/>
    <w:rsid w:val="008674F1"/>
    <w:rsid w:val="008845F6"/>
    <w:rsid w:val="008B21FE"/>
    <w:rsid w:val="00903DCC"/>
    <w:rsid w:val="00A47A60"/>
    <w:rsid w:val="00AA741C"/>
    <w:rsid w:val="00AB7838"/>
    <w:rsid w:val="00BB4525"/>
    <w:rsid w:val="00C56063"/>
    <w:rsid w:val="00D71707"/>
    <w:rsid w:val="00DB776E"/>
    <w:rsid w:val="00E87B49"/>
    <w:rsid w:val="00E92921"/>
    <w:rsid w:val="00F317C3"/>
    <w:rsid w:val="00FC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D90"/>
    <w:pPr>
      <w:ind w:left="720"/>
      <w:contextualSpacing/>
    </w:pPr>
  </w:style>
  <w:style w:type="character" w:styleId="a4">
    <w:name w:val="Hyperlink"/>
    <w:uiPriority w:val="99"/>
    <w:unhideWhenUsed/>
    <w:rsid w:val="00E92921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92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2921"/>
  </w:style>
  <w:style w:type="paragraph" w:styleId="a7">
    <w:name w:val="footer"/>
    <w:basedOn w:val="a"/>
    <w:link w:val="a8"/>
    <w:uiPriority w:val="99"/>
    <w:unhideWhenUsed/>
    <w:rsid w:val="00E92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2921"/>
  </w:style>
  <w:style w:type="table" w:styleId="a9">
    <w:name w:val="Table Grid"/>
    <w:basedOn w:val="a1"/>
    <w:uiPriority w:val="59"/>
    <w:rsid w:val="00F317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D90"/>
    <w:pPr>
      <w:ind w:left="720"/>
      <w:contextualSpacing/>
    </w:pPr>
  </w:style>
  <w:style w:type="character" w:styleId="a4">
    <w:name w:val="Hyperlink"/>
    <w:uiPriority w:val="99"/>
    <w:unhideWhenUsed/>
    <w:rsid w:val="00E92921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92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2921"/>
  </w:style>
  <w:style w:type="paragraph" w:styleId="a7">
    <w:name w:val="footer"/>
    <w:basedOn w:val="a"/>
    <w:link w:val="a8"/>
    <w:uiPriority w:val="99"/>
    <w:unhideWhenUsed/>
    <w:rsid w:val="00E92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2921"/>
  </w:style>
  <w:style w:type="table" w:styleId="a9">
    <w:name w:val="Table Grid"/>
    <w:basedOn w:val="a1"/>
    <w:uiPriority w:val="59"/>
    <w:rsid w:val="00F317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4</Pages>
  <Words>2510</Words>
  <Characters>14311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16788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Изм.15_Ермаков_</dc:creator>
  <cp:lastModifiedBy>Изм.15_Ермаков_</cp:lastModifiedBy>
  <cp:revision>18</cp:revision>
  <dcterms:created xsi:type="dcterms:W3CDTF">2015-11-09T11:01:00Z</dcterms:created>
  <dcterms:modified xsi:type="dcterms:W3CDTF">2015-11-16T13:58:00Z</dcterms:modified>
</cp:coreProperties>
</file>