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F7AE1" w14:textId="14A97C30" w:rsidR="00E50C0B" w:rsidRPr="008568CA" w:rsidRDefault="005328B9" w:rsidP="00E50C0B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  <w:hyperlink w:anchor="Z1" w:history="1">
        <w:r w:rsidR="00E50C0B" w:rsidRPr="008568CA">
          <w:rPr>
            <w:rFonts w:ascii="Tahoma" w:eastAsia="Times New Roman" w:hAnsi="Tahoma" w:cs="Tahoma"/>
            <w:b/>
            <w:u w:val="single"/>
            <w:lang w:eastAsia="ru-RU"/>
          </w:rPr>
          <w:t xml:space="preserve">Форма </w:t>
        </w:r>
        <w:r w:rsidR="00E50C0B" w:rsidRPr="008568CA">
          <w:rPr>
            <w:rFonts w:ascii="Tahoma" w:eastAsia="Times New Roman" w:hAnsi="Tahoma" w:cs="Tahoma"/>
            <w:b/>
            <w:u w:val="single"/>
            <w:lang w:val="en-US" w:eastAsia="ru-RU"/>
          </w:rPr>
          <w:t>Z</w:t>
        </w:r>
      </w:hyperlink>
      <w:r w:rsidR="00E50C0B" w:rsidRPr="008568CA">
        <w:rPr>
          <w:rFonts w:ascii="Tahoma" w:eastAsia="Times New Roman" w:hAnsi="Tahoma" w:cs="Tahoma"/>
          <w:b/>
          <w:u w:val="single"/>
          <w:lang w:eastAsia="ru-RU"/>
        </w:rPr>
        <w:t>4</w:t>
      </w:r>
      <w:r w:rsidR="00E50C0B" w:rsidRPr="008568CA">
        <w:rPr>
          <w:rFonts w:ascii="Tahoma" w:eastAsia="Times New Roman" w:hAnsi="Tahoma" w:cs="Tahoma"/>
          <w:b/>
          <w:u w:val="single"/>
          <w:lang w:eastAsia="ru-RU"/>
        </w:rPr>
        <w:br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232"/>
        <w:gridCol w:w="3722"/>
      </w:tblGrid>
      <w:tr w:rsidR="00E50C0B" w:rsidRPr="008568CA" w14:paraId="52EB5507" w14:textId="77777777" w:rsidTr="00817C13">
        <w:trPr>
          <w:trHeight w:val="435"/>
        </w:trPr>
        <w:tc>
          <w:tcPr>
            <w:tcW w:w="4253" w:type="dxa"/>
            <w:gridSpan w:val="2"/>
            <w:shd w:val="clear" w:color="auto" w:fill="auto"/>
          </w:tcPr>
          <w:p w14:paraId="2FD9E18E" w14:textId="77777777" w:rsidR="00E50C0B" w:rsidRPr="008568CA" w:rsidRDefault="00E50C0B" w:rsidP="00817C1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54AED9EE" w14:textId="77777777" w:rsidR="00E50C0B" w:rsidRPr="008568CA" w:rsidRDefault="00E50C0B" w:rsidP="00817C1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176347A0" w14:textId="77777777" w:rsidTr="00817C13">
        <w:tc>
          <w:tcPr>
            <w:tcW w:w="1985" w:type="dxa"/>
            <w:shd w:val="clear" w:color="auto" w:fill="auto"/>
          </w:tcPr>
          <w:p w14:paraId="2929D805" w14:textId="77777777" w:rsidR="00E50C0B" w:rsidRPr="008568CA" w:rsidRDefault="00E50C0B" w:rsidP="00817C1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268" w:type="dxa"/>
            <w:shd w:val="clear" w:color="auto" w:fill="auto"/>
          </w:tcPr>
          <w:p w14:paraId="4550EF90" w14:textId="77777777" w:rsidR="00E50C0B" w:rsidRPr="008568CA" w:rsidRDefault="00E50C0B" w:rsidP="00817C1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4D03468C" w14:textId="77777777" w:rsidR="00E50C0B" w:rsidRPr="008568CA" w:rsidRDefault="00E50C0B" w:rsidP="00817C1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3722" w:type="dxa"/>
            <w:shd w:val="clear" w:color="auto" w:fill="auto"/>
          </w:tcPr>
          <w:p w14:paraId="11B63D88" w14:textId="77777777" w:rsidR="00E50C0B" w:rsidRPr="008568CA" w:rsidRDefault="00E50C0B" w:rsidP="00817C1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56BF87F6" w14:textId="77777777" w:rsidR="00E50C0B" w:rsidRPr="008568CA" w:rsidRDefault="00E50C0B" w:rsidP="00E50C0B">
      <w:pPr>
        <w:spacing w:after="0" w:line="240" w:lineRule="auto"/>
        <w:ind w:left="284"/>
        <w:rPr>
          <w:rFonts w:ascii="Tahoma" w:eastAsia="Times New Roman" w:hAnsi="Tahoma" w:cs="Tahoma"/>
          <w:lang w:eastAsia="ru-RU"/>
        </w:rPr>
      </w:pPr>
    </w:p>
    <w:p w14:paraId="0CCFC31C" w14:textId="77777777" w:rsidR="00E50C0B" w:rsidRPr="008568CA" w:rsidRDefault="00E50C0B" w:rsidP="00E50C0B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НРД</w:t>
      </w:r>
    </w:p>
    <w:p w14:paraId="197CBB60" w14:textId="77777777" w:rsidR="00E50C0B" w:rsidRPr="008568CA" w:rsidRDefault="00E50C0B" w:rsidP="00E50C0B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14:paraId="612D202C" w14:textId="77777777" w:rsidR="00E50C0B" w:rsidRPr="008568CA" w:rsidRDefault="00E50C0B" w:rsidP="00E50C0B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Уведомление о погашении Облигаций</w:t>
      </w:r>
    </w:p>
    <w:p w14:paraId="1B383112" w14:textId="77777777" w:rsidR="00E50C0B" w:rsidRPr="008568CA" w:rsidRDefault="00E50C0B" w:rsidP="00E50C0B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3"/>
        <w:gridCol w:w="3491"/>
        <w:gridCol w:w="1502"/>
      </w:tblGrid>
      <w:tr w:rsidR="00E50C0B" w:rsidRPr="008568CA" w14:paraId="206A1147" w14:textId="77777777" w:rsidTr="00817C13">
        <w:tc>
          <w:tcPr>
            <w:tcW w:w="2500" w:type="pct"/>
          </w:tcPr>
          <w:p w14:paraId="55BF4765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2500" w:type="pct"/>
            <w:gridSpan w:val="2"/>
          </w:tcPr>
          <w:p w14:paraId="2622CEF3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46343642" w14:textId="77777777" w:rsidTr="00817C13">
        <w:tc>
          <w:tcPr>
            <w:tcW w:w="2500" w:type="pct"/>
          </w:tcPr>
          <w:p w14:paraId="202591D5" w14:textId="006C2F43" w:rsidR="00E50C0B" w:rsidRPr="008568CA" w:rsidRDefault="0052684F" w:rsidP="00B62411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E50C0B" w:rsidRPr="008568CA">
              <w:rPr>
                <w:rFonts w:ascii="Tahoma" w:eastAsia="Times New Roman" w:hAnsi="Tahoma" w:cs="Tahoma"/>
                <w:lang w:eastAsia="ru-RU"/>
              </w:rPr>
              <w:t xml:space="preserve">егистрационный номер выпуска </w:t>
            </w:r>
            <w:r w:rsidR="00B62411" w:rsidRPr="008568CA">
              <w:rPr>
                <w:rFonts w:ascii="Tahoma" w:eastAsia="Times New Roman" w:hAnsi="Tahoma" w:cs="Tahoma"/>
                <w:lang w:eastAsia="ru-RU"/>
              </w:rPr>
              <w:t>Облигаций</w:t>
            </w:r>
            <w:r w:rsidR="00E50C0B" w:rsidRPr="008568CA">
              <w:rPr>
                <w:rFonts w:ascii="Tahoma" w:eastAsia="Times New Roman" w:hAnsi="Tahoma" w:cs="Tahoma"/>
                <w:lang w:eastAsia="ru-RU"/>
              </w:rPr>
              <w:t>/ ISIN код – для иностранных эмитентов</w:t>
            </w:r>
          </w:p>
        </w:tc>
        <w:tc>
          <w:tcPr>
            <w:tcW w:w="2500" w:type="pct"/>
            <w:gridSpan w:val="2"/>
          </w:tcPr>
          <w:p w14:paraId="5C586554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496D62F3" w14:textId="77777777" w:rsidTr="00817C13">
        <w:trPr>
          <w:trHeight w:val="471"/>
        </w:trPr>
        <w:tc>
          <w:tcPr>
            <w:tcW w:w="2500" w:type="pct"/>
          </w:tcPr>
          <w:p w14:paraId="5C126DA6" w14:textId="77777777" w:rsidR="00E50C0B" w:rsidRPr="008568CA" w:rsidRDefault="00E50C0B" w:rsidP="00817C13">
            <w:pPr>
              <w:spacing w:before="60" w:after="6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Платежного агента</w:t>
            </w:r>
          </w:p>
        </w:tc>
        <w:tc>
          <w:tcPr>
            <w:tcW w:w="2500" w:type="pct"/>
            <w:gridSpan w:val="2"/>
          </w:tcPr>
          <w:p w14:paraId="4A0553D1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5DE8A539" w14:textId="77777777" w:rsidTr="00817C13">
        <w:trPr>
          <w:trHeight w:val="402"/>
        </w:trPr>
        <w:tc>
          <w:tcPr>
            <w:tcW w:w="2500" w:type="pct"/>
            <w:vMerge w:val="restart"/>
          </w:tcPr>
          <w:p w14:paraId="0479DEF2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Вид погашения</w:t>
            </w:r>
          </w:p>
        </w:tc>
        <w:tc>
          <w:tcPr>
            <w:tcW w:w="2500" w:type="pct"/>
            <w:gridSpan w:val="2"/>
          </w:tcPr>
          <w:p w14:paraId="526A9526" w14:textId="77777777" w:rsidR="00E50C0B" w:rsidRPr="008568CA" w:rsidRDefault="00E50C0B" w:rsidP="00C93070">
            <w:pPr>
              <w:spacing w:before="60" w:after="60"/>
              <w:ind w:left="421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3CE0231" wp14:editId="7136EC3D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72390</wp:posOffset>
                      </wp:positionV>
                      <wp:extent cx="114300" cy="114300"/>
                      <wp:effectExtent l="0" t="0" r="19050" b="19050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2F179" id="Прямоугольник 16" o:spid="_x0000_s1026" style="position:absolute;margin-left:-.8pt;margin-top:5.7pt;width:9pt;height: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погашение</w:t>
            </w:r>
            <w:r w:rsidR="00C93070" w:rsidRPr="008568CA">
              <w:rPr>
                <w:rFonts w:ascii="Tahoma" w:eastAsia="Times New Roman" w:hAnsi="Tahoma" w:cs="Tahoma"/>
                <w:lang w:eastAsia="ru-RU"/>
              </w:rPr>
              <w:t xml:space="preserve"> (в том числе последней части номинальной стоимости)</w:t>
            </w:r>
          </w:p>
        </w:tc>
      </w:tr>
      <w:tr w:rsidR="00E50C0B" w:rsidRPr="008568CA" w14:paraId="34157EC0" w14:textId="77777777" w:rsidTr="00817C13">
        <w:trPr>
          <w:trHeight w:val="402"/>
        </w:trPr>
        <w:tc>
          <w:tcPr>
            <w:tcW w:w="2500" w:type="pct"/>
            <w:vMerge/>
          </w:tcPr>
          <w:p w14:paraId="4117746B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500" w:type="pct"/>
            <w:gridSpan w:val="2"/>
          </w:tcPr>
          <w:p w14:paraId="3BD9F840" w14:textId="77777777" w:rsidR="00E50C0B" w:rsidRPr="008568CA" w:rsidRDefault="00E50C0B" w:rsidP="00817C13">
            <w:pPr>
              <w:spacing w:before="60" w:after="60"/>
              <w:ind w:left="421"/>
              <w:jc w:val="both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311C337" wp14:editId="3B7AF3EA">
                      <wp:simplePos x="0" y="0"/>
                      <wp:positionH relativeFrom="column">
                        <wp:posOffset>-8835</wp:posOffset>
                      </wp:positionH>
                      <wp:positionV relativeFrom="paragraph">
                        <wp:posOffset>62865</wp:posOffset>
                      </wp:positionV>
                      <wp:extent cx="114300" cy="114300"/>
                      <wp:effectExtent l="0" t="0" r="19050" b="1905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F0CD0" id="Прямоугольник 14" o:spid="_x0000_s1026" style="position:absolute;margin-left:-.7pt;margin-top:4.95pt;width:9pt;height: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0du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w:t>частичное погашение</w:t>
            </w:r>
          </w:p>
        </w:tc>
      </w:tr>
      <w:tr w:rsidR="00E50C0B" w:rsidRPr="008568CA" w14:paraId="7884A511" w14:textId="77777777" w:rsidTr="00817C13">
        <w:trPr>
          <w:trHeight w:val="393"/>
        </w:trPr>
        <w:tc>
          <w:tcPr>
            <w:tcW w:w="2500" w:type="pct"/>
            <w:vMerge/>
          </w:tcPr>
          <w:p w14:paraId="37AC5AE0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500" w:type="pct"/>
            <w:gridSpan w:val="2"/>
          </w:tcPr>
          <w:p w14:paraId="6A271605" w14:textId="77777777" w:rsidR="00E50C0B" w:rsidRPr="008568CA" w:rsidRDefault="00E50C0B" w:rsidP="00817C13">
            <w:pPr>
              <w:spacing w:after="0" w:line="240" w:lineRule="auto"/>
              <w:ind w:left="421"/>
              <w:jc w:val="both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6EC372A" wp14:editId="5F0D3A5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18888</wp:posOffset>
                      </wp:positionV>
                      <wp:extent cx="114300" cy="114300"/>
                      <wp:effectExtent l="0" t="0" r="19050" b="19050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78D7D0" id="Прямоугольник 24" o:spid="_x0000_s1026" style="position:absolute;margin-left:-.5pt;margin-top:1.5pt;width:9pt;height: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Hsd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досрочное погашение</w:t>
            </w:r>
          </w:p>
        </w:tc>
      </w:tr>
      <w:tr w:rsidR="00E50C0B" w:rsidRPr="008568CA" w14:paraId="7516660B" w14:textId="77777777" w:rsidTr="00817C13">
        <w:trPr>
          <w:trHeight w:val="513"/>
        </w:trPr>
        <w:tc>
          <w:tcPr>
            <w:tcW w:w="2500" w:type="pct"/>
            <w:vMerge/>
          </w:tcPr>
          <w:p w14:paraId="13BD628F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500" w:type="pct"/>
            <w:gridSpan w:val="2"/>
          </w:tcPr>
          <w:p w14:paraId="637AB248" w14:textId="77777777" w:rsidR="00E50C0B" w:rsidRPr="008568CA" w:rsidRDefault="00E50C0B" w:rsidP="00817C13">
            <w:pPr>
              <w:spacing w:before="60" w:after="60"/>
              <w:ind w:left="421"/>
              <w:jc w:val="both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9834391" wp14:editId="5BC3DB1B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0" t="0" r="19050" b="19050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CB7D4" id="Прямоугольник 13" o:spid="_x0000_s1026" style="position:absolute;margin-left:-.65pt;margin-top:9.9pt;width:9pt;height: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 xml:space="preserve">досрочное погашение по усмотрению Эмитента приобретенных им Облигаций </w:t>
            </w:r>
          </w:p>
        </w:tc>
      </w:tr>
      <w:tr w:rsidR="00E50C0B" w:rsidRPr="008568CA" w14:paraId="6C6C6A9D" w14:textId="77777777" w:rsidTr="00817C13">
        <w:tc>
          <w:tcPr>
            <w:tcW w:w="2500" w:type="pct"/>
          </w:tcPr>
          <w:p w14:paraId="7755B7CB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</w:t>
            </w:r>
            <w:r w:rsidRPr="008568CA">
              <w:rPr>
                <w:rFonts w:ascii="Tahoma" w:eastAsia="Times New Roman" w:hAnsi="Tahoma" w:cs="Tahoma"/>
                <w:lang w:eastAsia="ru-RU"/>
              </w:rPr>
              <w:br/>
              <w:t>выплаты/погашения/досрочного погашения</w:t>
            </w:r>
          </w:p>
        </w:tc>
        <w:tc>
          <w:tcPr>
            <w:tcW w:w="2500" w:type="pct"/>
            <w:gridSpan w:val="2"/>
          </w:tcPr>
          <w:p w14:paraId="2E78D411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779206B2" w14:textId="77777777" w:rsidTr="00817C13">
        <w:tc>
          <w:tcPr>
            <w:tcW w:w="2500" w:type="pct"/>
          </w:tcPr>
          <w:p w14:paraId="1642EC18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Сумма выплаты на одну Облигацию</w:t>
            </w:r>
          </w:p>
          <w:p w14:paraId="20680D4B" w14:textId="77777777" w:rsidR="00E50C0B" w:rsidRPr="008568CA" w:rsidRDefault="00E50C0B" w:rsidP="00817C1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 валюте выплаты)</w:t>
            </w:r>
          </w:p>
        </w:tc>
        <w:tc>
          <w:tcPr>
            <w:tcW w:w="2500" w:type="pct"/>
            <w:gridSpan w:val="2"/>
          </w:tcPr>
          <w:p w14:paraId="52D2AF0A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42D608EF" w14:textId="77777777" w:rsidTr="00817C13">
        <w:tc>
          <w:tcPr>
            <w:tcW w:w="2500" w:type="pct"/>
          </w:tcPr>
          <w:p w14:paraId="3817C25E" w14:textId="77777777" w:rsidR="00E50C0B" w:rsidRPr="008568CA" w:rsidRDefault="00E50C0B" w:rsidP="00817C13">
            <w:pPr>
              <w:spacing w:before="60" w:after="6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Сумма выплат по выпуску Облигаций</w:t>
            </w:r>
            <w:r w:rsidRPr="008568CA">
              <w:rPr>
                <w:rFonts w:ascii="Tahoma" w:eastAsia="Times New Roman" w:hAnsi="Tahoma" w:cs="Tahoma"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 валюте выплаты)</w:t>
            </w:r>
            <w:r w:rsidRPr="008568CA" w:rsidDel="00C1164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00" w:type="pct"/>
            <w:gridSpan w:val="2"/>
          </w:tcPr>
          <w:p w14:paraId="0288529D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79E39E6A" w14:textId="77777777" w:rsidTr="00817C13">
        <w:trPr>
          <w:trHeight w:val="393"/>
        </w:trPr>
        <w:tc>
          <w:tcPr>
            <w:tcW w:w="2500" w:type="pct"/>
          </w:tcPr>
          <w:p w14:paraId="28217FA3" w14:textId="77777777" w:rsidR="00E50C0B" w:rsidRPr="008568CA" w:rsidRDefault="00E50C0B" w:rsidP="00817C13">
            <w:pPr>
              <w:spacing w:before="60" w:after="6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Выплаченный НКД за последний купонный период на одну Облигацию</w:t>
            </w:r>
            <w:r w:rsidRPr="008568CA">
              <w:rPr>
                <w:rFonts w:ascii="Tahoma" w:eastAsia="Times New Roman" w:hAnsi="Tahoma" w:cs="Tahoma"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(заполняется для процентных/купонный Облигаций; </w:t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в валюте выплаты)</w:t>
            </w:r>
          </w:p>
        </w:tc>
        <w:tc>
          <w:tcPr>
            <w:tcW w:w="2500" w:type="pct"/>
            <w:gridSpan w:val="2"/>
          </w:tcPr>
          <w:p w14:paraId="282A4D48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2320584E" w14:textId="77777777" w:rsidTr="00817C13">
        <w:trPr>
          <w:trHeight w:val="393"/>
        </w:trPr>
        <w:tc>
          <w:tcPr>
            <w:tcW w:w="2500" w:type="pct"/>
          </w:tcPr>
          <w:p w14:paraId="2C4151DA" w14:textId="77777777" w:rsidR="00E50C0B" w:rsidRPr="008568CA" w:rsidRDefault="00E50C0B" w:rsidP="00817C13">
            <w:pPr>
              <w:spacing w:before="60" w:after="6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Выплаченный НКД за последний купонный период по выпуску Облигаций</w:t>
            </w:r>
            <w:r w:rsidRPr="008568CA">
              <w:rPr>
                <w:rFonts w:ascii="Tahoma" w:eastAsia="Times New Roman" w:hAnsi="Tahoma" w:cs="Tahoma"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(заполняется для процентных/купонный Облигаций; </w:t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в валюте выплаты)</w:t>
            </w:r>
          </w:p>
        </w:tc>
        <w:tc>
          <w:tcPr>
            <w:tcW w:w="2500" w:type="pct"/>
            <w:gridSpan w:val="2"/>
          </w:tcPr>
          <w:p w14:paraId="60EDF016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481ED7C5" w14:textId="77777777" w:rsidTr="00817C13">
        <w:trPr>
          <w:trHeight w:val="276"/>
        </w:trPr>
        <w:tc>
          <w:tcPr>
            <w:tcW w:w="2500" w:type="pct"/>
            <w:vMerge w:val="restart"/>
          </w:tcPr>
          <w:p w14:paraId="2AE879C9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Количество Облигаций на дату погашения</w:t>
            </w:r>
            <w:r w:rsidRPr="008568CA">
              <w:rPr>
                <w:rFonts w:ascii="Tahoma" w:eastAsia="Times New Roman" w:hAnsi="Tahoma" w:cs="Tahoma"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 штуках)</w:t>
            </w:r>
          </w:p>
        </w:tc>
        <w:tc>
          <w:tcPr>
            <w:tcW w:w="1748" w:type="pct"/>
          </w:tcPr>
          <w:p w14:paraId="3394D881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на эмиссионном счете</w:t>
            </w:r>
          </w:p>
        </w:tc>
        <w:tc>
          <w:tcPr>
            <w:tcW w:w="752" w:type="pct"/>
          </w:tcPr>
          <w:p w14:paraId="7042A773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13D316B6" w14:textId="77777777" w:rsidTr="00817C13">
        <w:trPr>
          <w:trHeight w:val="275"/>
        </w:trPr>
        <w:tc>
          <w:tcPr>
            <w:tcW w:w="2500" w:type="pct"/>
            <w:vMerge/>
          </w:tcPr>
          <w:p w14:paraId="6248771B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748" w:type="pct"/>
          </w:tcPr>
          <w:p w14:paraId="110E3F26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на казначейском счете депо</w:t>
            </w:r>
          </w:p>
        </w:tc>
        <w:tc>
          <w:tcPr>
            <w:tcW w:w="752" w:type="pct"/>
          </w:tcPr>
          <w:p w14:paraId="6A993D57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78D2759A" w14:textId="77777777" w:rsidTr="00817C13">
        <w:trPr>
          <w:trHeight w:val="344"/>
        </w:trPr>
        <w:tc>
          <w:tcPr>
            <w:tcW w:w="2500" w:type="pct"/>
          </w:tcPr>
          <w:p w14:paraId="241B115F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Примечания</w:t>
            </w:r>
          </w:p>
        </w:tc>
        <w:tc>
          <w:tcPr>
            <w:tcW w:w="2500" w:type="pct"/>
            <w:gridSpan w:val="2"/>
          </w:tcPr>
          <w:p w14:paraId="3D762767" w14:textId="77777777" w:rsidR="00E50C0B" w:rsidRPr="008568CA" w:rsidRDefault="00E50C0B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750DF" w:rsidRPr="008568CA" w14:paraId="4D2AC1E5" w14:textId="77777777" w:rsidTr="00817C13">
        <w:trPr>
          <w:trHeight w:val="344"/>
        </w:trPr>
        <w:tc>
          <w:tcPr>
            <w:tcW w:w="2500" w:type="pct"/>
          </w:tcPr>
          <w:p w14:paraId="1AE5E4B3" w14:textId="7C5D4871" w:rsidR="006750DF" w:rsidRPr="008568CA" w:rsidRDefault="006750DF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2E3453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2E3453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2500" w:type="pct"/>
            <w:gridSpan w:val="2"/>
          </w:tcPr>
          <w:p w14:paraId="00836E4A" w14:textId="77777777" w:rsidR="006750DF" w:rsidRPr="008568CA" w:rsidRDefault="006750DF" w:rsidP="00817C13">
            <w:pPr>
              <w:spacing w:before="60" w:after="6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3CF69752" w14:textId="77777777" w:rsidR="00E50C0B" w:rsidRPr="008568CA" w:rsidRDefault="00E50C0B" w:rsidP="00E50C0B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14:paraId="417AEB39" w14:textId="77777777" w:rsidR="00C93070" w:rsidRPr="008568CA" w:rsidRDefault="00C93070" w:rsidP="00D51D33">
      <w:pPr>
        <w:spacing w:after="0" w:line="240" w:lineRule="auto"/>
        <w:ind w:left="142" w:right="141"/>
        <w:jc w:val="both"/>
        <w:rPr>
          <w:rFonts w:ascii="Tahoma" w:eastAsia="Times New Roman" w:hAnsi="Tahoma" w:cs="Tahoma"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t>Эмитент подтверждает выполнение всех обязательств, предусмотренных Эмиссионными документами, в отношении соответствующего вида погашения.</w:t>
      </w:r>
    </w:p>
    <w:p w14:paraId="239EC26D" w14:textId="77777777" w:rsidR="00E50C0B" w:rsidRPr="008568CA" w:rsidRDefault="00E50C0B" w:rsidP="00E50C0B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6608"/>
      </w:tblGrid>
      <w:tr w:rsidR="00E50C0B" w:rsidRPr="008568CA" w14:paraId="2F2E3D70" w14:textId="77777777" w:rsidTr="00D51D33">
        <w:tc>
          <w:tcPr>
            <w:tcW w:w="9923" w:type="dxa"/>
            <w:gridSpan w:val="2"/>
            <w:shd w:val="clear" w:color="auto" w:fill="auto"/>
          </w:tcPr>
          <w:p w14:paraId="1C958579" w14:textId="77777777" w:rsidR="00E50C0B" w:rsidRPr="008568CA" w:rsidRDefault="00E50C0B" w:rsidP="00817C13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>Информация о получении электронного документа</w:t>
            </w:r>
          </w:p>
        </w:tc>
      </w:tr>
      <w:tr w:rsidR="00E50C0B" w:rsidRPr="008568CA" w14:paraId="261BE205" w14:textId="77777777" w:rsidTr="00D51D33">
        <w:tc>
          <w:tcPr>
            <w:tcW w:w="3315" w:type="dxa"/>
            <w:shd w:val="clear" w:color="auto" w:fill="auto"/>
          </w:tcPr>
          <w:p w14:paraId="1BF7BA4C" w14:textId="77777777" w:rsidR="00E50C0B" w:rsidRPr="008568CA" w:rsidRDefault="00E50C0B" w:rsidP="00817C1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608" w:type="dxa"/>
            <w:shd w:val="clear" w:color="auto" w:fill="auto"/>
          </w:tcPr>
          <w:p w14:paraId="09B2A977" w14:textId="77777777" w:rsidR="00E50C0B" w:rsidRPr="008568CA" w:rsidRDefault="00E50C0B" w:rsidP="00817C1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50C0B" w:rsidRPr="008568CA" w14:paraId="4C1C6881" w14:textId="77777777" w:rsidTr="00D51D33">
        <w:tc>
          <w:tcPr>
            <w:tcW w:w="3315" w:type="dxa"/>
            <w:shd w:val="clear" w:color="auto" w:fill="auto"/>
          </w:tcPr>
          <w:p w14:paraId="16BA9E9A" w14:textId="77777777" w:rsidR="00E50C0B" w:rsidRPr="008568CA" w:rsidRDefault="00E50C0B" w:rsidP="00817C1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608" w:type="dxa"/>
            <w:shd w:val="clear" w:color="auto" w:fill="auto"/>
          </w:tcPr>
          <w:p w14:paraId="10634A0C" w14:textId="77777777" w:rsidR="00E50C0B" w:rsidRPr="008568CA" w:rsidRDefault="00E50C0B" w:rsidP="00817C13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8E1F4E7" w14:textId="77777777" w:rsidR="00D51D33" w:rsidRPr="008568CA" w:rsidRDefault="00D51D33" w:rsidP="00E50C0B">
      <w:pPr>
        <w:spacing w:after="0" w:line="240" w:lineRule="auto"/>
        <w:rPr>
          <w:rFonts w:ascii="Tahoma" w:hAnsi="Tahoma" w:cs="Tahoma"/>
        </w:rPr>
      </w:pPr>
    </w:p>
    <w:p w14:paraId="328DE7FE" w14:textId="423C5197" w:rsidR="00C93070" w:rsidRPr="005328B9" w:rsidRDefault="00C93070" w:rsidP="005328B9">
      <w:pPr>
        <w:rPr>
          <w:rFonts w:ascii="Tahoma" w:hAnsi="Tahoma" w:cs="Tahoma"/>
        </w:rPr>
      </w:pPr>
      <w:bookmarkStart w:id="0" w:name="_GoBack"/>
      <w:bookmarkEnd w:id="0"/>
    </w:p>
    <w:sectPr w:rsidR="00C93070" w:rsidRPr="005328B9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328B9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1B221-F6D8-4B97-9F71-8FAAA272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2022-04-12T08:21:00Z</dcterms:created>
  <dcterms:modified xsi:type="dcterms:W3CDTF">2022-04-12T08:21:00Z</dcterms:modified>
</cp:coreProperties>
</file>