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5C100" w14:textId="4EEA6D46" w:rsidR="00FD13C2" w:rsidRPr="00623913" w:rsidRDefault="0087403A" w:rsidP="00496382">
      <w:pPr>
        <w:spacing w:after="0"/>
        <w:jc w:val="center"/>
        <w:rPr>
          <w:rFonts w:ascii="Times New Roman" w:hAnsi="Times New Roman" w:cs="Times New Roman"/>
          <w:b/>
          <w:sz w:val="20"/>
          <w:szCs w:val="20"/>
        </w:rPr>
      </w:pPr>
      <w:r w:rsidRPr="00623913">
        <w:rPr>
          <w:rFonts w:ascii="Times New Roman" w:hAnsi="Times New Roman" w:cs="Times New Roman"/>
          <w:b/>
          <w:sz w:val="20"/>
          <w:szCs w:val="20"/>
        </w:rPr>
        <w:t xml:space="preserve">Изменения в Спецификации ЭД по КД по состоянию на </w:t>
      </w:r>
      <w:r w:rsidR="00D91797">
        <w:rPr>
          <w:rFonts w:ascii="Times New Roman" w:hAnsi="Times New Roman" w:cs="Times New Roman"/>
          <w:b/>
          <w:sz w:val="20"/>
          <w:szCs w:val="20"/>
        </w:rPr>
        <w:t>08.12.2023</w:t>
      </w:r>
      <w:r w:rsidRPr="00623913">
        <w:rPr>
          <w:rFonts w:ascii="Times New Roman" w:hAnsi="Times New Roman" w:cs="Times New Roman"/>
          <w:b/>
          <w:sz w:val="20"/>
          <w:szCs w:val="20"/>
        </w:rPr>
        <w:t xml:space="preserve"> г.</w:t>
      </w:r>
    </w:p>
    <w:p w14:paraId="2B082315" w14:textId="77777777" w:rsidR="00D90501" w:rsidRPr="00623913" w:rsidRDefault="00D90501" w:rsidP="00496382">
      <w:pPr>
        <w:spacing w:after="0"/>
        <w:jc w:val="center"/>
        <w:rPr>
          <w:rFonts w:ascii="Times New Roman" w:hAnsi="Times New Roman" w:cs="Times New Roman"/>
          <w:b/>
          <w:sz w:val="20"/>
          <w:szCs w:val="20"/>
        </w:rPr>
      </w:pPr>
    </w:p>
    <w:p w14:paraId="732DEC4D" w14:textId="47430570" w:rsidR="002868D5" w:rsidRPr="00623913" w:rsidRDefault="002868D5" w:rsidP="00F62F7B">
      <w:pPr>
        <w:pStyle w:val="2"/>
        <w:numPr>
          <w:ilvl w:val="0"/>
          <w:numId w:val="3"/>
        </w:numPr>
        <w:spacing w:before="0"/>
        <w:rPr>
          <w:rFonts w:ascii="Times New Roman" w:eastAsiaTheme="minorHAnsi" w:hAnsi="Times New Roman" w:cs="Times New Roman"/>
          <w:bCs w:val="0"/>
          <w:color w:val="auto"/>
          <w:sz w:val="20"/>
          <w:szCs w:val="20"/>
        </w:rPr>
      </w:pPr>
      <w:r w:rsidRPr="00623913">
        <w:rPr>
          <w:rFonts w:ascii="Times New Roman" w:eastAsiaTheme="minorHAnsi" w:hAnsi="Times New Roman" w:cs="Times New Roman"/>
          <w:bCs w:val="0"/>
          <w:color w:val="auto"/>
          <w:sz w:val="20"/>
          <w:szCs w:val="20"/>
        </w:rPr>
        <w:t xml:space="preserve">Изменения в Часть I. Перечень документов, которые вступают в силу </w:t>
      </w:r>
      <w:r w:rsidR="00D91797">
        <w:rPr>
          <w:rFonts w:ascii="Times New Roman" w:eastAsiaTheme="minorHAnsi" w:hAnsi="Times New Roman" w:cs="Times New Roman"/>
          <w:bCs w:val="0"/>
          <w:color w:val="auto"/>
          <w:sz w:val="20"/>
          <w:szCs w:val="20"/>
        </w:rPr>
        <w:t>26.02.2024</w:t>
      </w:r>
      <w:r w:rsidR="00F62F7B" w:rsidRPr="00F62F7B">
        <w:rPr>
          <w:rFonts w:ascii="Times New Roman" w:eastAsiaTheme="minorHAnsi" w:hAnsi="Times New Roman" w:cs="Times New Roman"/>
          <w:bCs w:val="0"/>
          <w:color w:val="auto"/>
          <w:sz w:val="20"/>
          <w:szCs w:val="20"/>
        </w:rPr>
        <w:t xml:space="preserve"> </w:t>
      </w:r>
      <w:r w:rsidRPr="00623913">
        <w:rPr>
          <w:rFonts w:ascii="Times New Roman" w:eastAsiaTheme="minorHAnsi" w:hAnsi="Times New Roman" w:cs="Times New Roman"/>
          <w:bCs w:val="0"/>
          <w:color w:val="auto"/>
          <w:sz w:val="20"/>
          <w:szCs w:val="20"/>
        </w:rPr>
        <w:t>года</w:t>
      </w:r>
    </w:p>
    <w:p w14:paraId="02A15411" w14:textId="77777777" w:rsidR="002868D5" w:rsidRPr="00623913" w:rsidRDefault="002868D5" w:rsidP="00496382">
      <w:pPr>
        <w:spacing w:after="0"/>
        <w:rPr>
          <w:rFonts w:ascii="Times New Roman" w:hAnsi="Times New Roman" w:cs="Times New Roman"/>
          <w:sz w:val="20"/>
          <w:szCs w:val="20"/>
        </w:rPr>
      </w:pPr>
      <w:r w:rsidRPr="00623913">
        <w:rPr>
          <w:rFonts w:ascii="Times New Roman" w:hAnsi="Times New Roman" w:cs="Times New Roman"/>
          <w:sz w:val="20"/>
          <w:szCs w:val="20"/>
        </w:rPr>
        <w:t>-</w:t>
      </w:r>
    </w:p>
    <w:p w14:paraId="0222B8CB" w14:textId="3CAF4072" w:rsidR="002868D5" w:rsidRPr="00623913" w:rsidRDefault="002868D5" w:rsidP="00D91797">
      <w:pPr>
        <w:keepNext/>
        <w:keepLines/>
        <w:numPr>
          <w:ilvl w:val="0"/>
          <w:numId w:val="3"/>
        </w:numPr>
        <w:spacing w:after="0"/>
        <w:outlineLvl w:val="1"/>
        <w:rPr>
          <w:rFonts w:ascii="Times New Roman" w:hAnsi="Times New Roman" w:cs="Times New Roman"/>
          <w:b/>
          <w:sz w:val="20"/>
          <w:szCs w:val="20"/>
        </w:rPr>
      </w:pPr>
      <w:r w:rsidRPr="00623913">
        <w:rPr>
          <w:rFonts w:ascii="Times New Roman" w:hAnsi="Times New Roman" w:cs="Times New Roman"/>
          <w:b/>
          <w:sz w:val="20"/>
          <w:szCs w:val="20"/>
        </w:rPr>
        <w:t xml:space="preserve">Изменения xml схемы, которые вступают в силу </w:t>
      </w:r>
      <w:r w:rsidR="00D91797" w:rsidRPr="00D91797">
        <w:rPr>
          <w:rFonts w:ascii="Times New Roman" w:hAnsi="Times New Roman" w:cs="Times New Roman"/>
          <w:b/>
          <w:sz w:val="20"/>
          <w:szCs w:val="20"/>
        </w:rPr>
        <w:t xml:space="preserve">26.02.2024 </w:t>
      </w:r>
      <w:r w:rsidRPr="00623913">
        <w:rPr>
          <w:rFonts w:ascii="Times New Roman" w:hAnsi="Times New Roman" w:cs="Times New Roman"/>
          <w:b/>
          <w:sz w:val="20"/>
          <w:szCs w:val="20"/>
        </w:rPr>
        <w:t>года</w:t>
      </w:r>
    </w:p>
    <w:tbl>
      <w:tblPr>
        <w:tblStyle w:val="110"/>
        <w:tblW w:w="15455" w:type="dxa"/>
        <w:tblInd w:w="108" w:type="dxa"/>
        <w:tblLayout w:type="fixed"/>
        <w:tblLook w:val="04A0" w:firstRow="1" w:lastRow="0" w:firstColumn="1" w:lastColumn="0" w:noHBand="0" w:noVBand="1"/>
      </w:tblPr>
      <w:tblGrid>
        <w:gridCol w:w="426"/>
        <w:gridCol w:w="3005"/>
        <w:gridCol w:w="5387"/>
        <w:gridCol w:w="4727"/>
        <w:gridCol w:w="1910"/>
      </w:tblGrid>
      <w:tr w:rsidR="005F768A" w:rsidRPr="00623913" w14:paraId="2093CA69" w14:textId="77777777" w:rsidTr="00FE1ADF">
        <w:trPr>
          <w:trHeight w:val="230"/>
          <w:tblHeader/>
        </w:trPr>
        <w:tc>
          <w:tcPr>
            <w:tcW w:w="426" w:type="dxa"/>
          </w:tcPr>
          <w:p w14:paraId="0917E219" w14:textId="77777777" w:rsidR="002868D5" w:rsidRPr="00623913" w:rsidRDefault="002868D5" w:rsidP="00496382">
            <w:pPr>
              <w:spacing w:line="276" w:lineRule="auto"/>
              <w:jc w:val="center"/>
              <w:rPr>
                <w:rFonts w:ascii="Times New Roman" w:hAnsi="Times New Roman" w:cs="Times New Roman"/>
                <w:b/>
                <w:i/>
                <w:sz w:val="20"/>
                <w:szCs w:val="20"/>
              </w:rPr>
            </w:pPr>
            <w:r w:rsidRPr="00623913">
              <w:rPr>
                <w:rFonts w:ascii="Times New Roman" w:hAnsi="Times New Roman" w:cs="Times New Roman"/>
                <w:b/>
                <w:i/>
                <w:sz w:val="20"/>
                <w:szCs w:val="20"/>
              </w:rPr>
              <w:t>№</w:t>
            </w:r>
          </w:p>
        </w:tc>
        <w:tc>
          <w:tcPr>
            <w:tcW w:w="3005" w:type="dxa"/>
          </w:tcPr>
          <w:p w14:paraId="744992D8" w14:textId="77777777" w:rsidR="002868D5" w:rsidRPr="00623913" w:rsidRDefault="002868D5" w:rsidP="00496382">
            <w:pPr>
              <w:spacing w:line="276" w:lineRule="auto"/>
              <w:jc w:val="center"/>
              <w:rPr>
                <w:rFonts w:ascii="Times New Roman" w:hAnsi="Times New Roman" w:cs="Times New Roman"/>
                <w:b/>
                <w:i/>
                <w:sz w:val="20"/>
                <w:szCs w:val="20"/>
              </w:rPr>
            </w:pPr>
            <w:r w:rsidRPr="00623913">
              <w:rPr>
                <w:rFonts w:ascii="Times New Roman" w:hAnsi="Times New Roman" w:cs="Times New Roman"/>
                <w:b/>
                <w:i/>
                <w:sz w:val="20"/>
                <w:szCs w:val="20"/>
              </w:rPr>
              <w:t xml:space="preserve">Документ </w:t>
            </w:r>
          </w:p>
        </w:tc>
        <w:tc>
          <w:tcPr>
            <w:tcW w:w="5387" w:type="dxa"/>
          </w:tcPr>
          <w:p w14:paraId="459362C5" w14:textId="77777777" w:rsidR="002868D5" w:rsidRPr="00623913" w:rsidRDefault="002868D5" w:rsidP="00496382">
            <w:pPr>
              <w:spacing w:line="276" w:lineRule="auto"/>
              <w:jc w:val="center"/>
              <w:rPr>
                <w:rFonts w:ascii="Times New Roman" w:hAnsi="Times New Roman" w:cs="Times New Roman"/>
                <w:b/>
                <w:i/>
                <w:sz w:val="20"/>
                <w:szCs w:val="20"/>
              </w:rPr>
            </w:pPr>
            <w:r w:rsidRPr="00623913">
              <w:rPr>
                <w:rFonts w:ascii="Times New Roman" w:hAnsi="Times New Roman" w:cs="Times New Roman"/>
                <w:b/>
                <w:i/>
                <w:sz w:val="20"/>
                <w:szCs w:val="20"/>
              </w:rPr>
              <w:t>Путь (xpath)</w:t>
            </w:r>
          </w:p>
        </w:tc>
        <w:tc>
          <w:tcPr>
            <w:tcW w:w="4727" w:type="dxa"/>
          </w:tcPr>
          <w:p w14:paraId="42410266" w14:textId="77777777" w:rsidR="002868D5" w:rsidRPr="00623913" w:rsidRDefault="002868D5" w:rsidP="00496382">
            <w:pPr>
              <w:spacing w:line="276" w:lineRule="auto"/>
              <w:jc w:val="center"/>
              <w:rPr>
                <w:rFonts w:ascii="Times New Roman" w:hAnsi="Times New Roman" w:cs="Times New Roman"/>
                <w:b/>
                <w:i/>
                <w:sz w:val="20"/>
                <w:szCs w:val="20"/>
              </w:rPr>
            </w:pPr>
            <w:r w:rsidRPr="00623913">
              <w:rPr>
                <w:rFonts w:ascii="Times New Roman" w:hAnsi="Times New Roman" w:cs="Times New Roman"/>
                <w:b/>
                <w:i/>
                <w:sz w:val="20"/>
                <w:szCs w:val="20"/>
              </w:rPr>
              <w:t>Пояснение НРД</w:t>
            </w:r>
          </w:p>
        </w:tc>
        <w:tc>
          <w:tcPr>
            <w:tcW w:w="1910" w:type="dxa"/>
          </w:tcPr>
          <w:p w14:paraId="5305CCEF" w14:textId="77777777" w:rsidR="002868D5" w:rsidRPr="00623913" w:rsidRDefault="002868D5" w:rsidP="00496382">
            <w:pPr>
              <w:spacing w:line="276" w:lineRule="auto"/>
              <w:jc w:val="center"/>
              <w:rPr>
                <w:rFonts w:ascii="Times New Roman" w:hAnsi="Times New Roman" w:cs="Times New Roman"/>
                <w:b/>
                <w:i/>
                <w:sz w:val="20"/>
                <w:szCs w:val="20"/>
              </w:rPr>
            </w:pPr>
            <w:r w:rsidRPr="00623913">
              <w:rPr>
                <w:rFonts w:ascii="Times New Roman" w:hAnsi="Times New Roman" w:cs="Times New Roman"/>
                <w:b/>
                <w:i/>
                <w:sz w:val="20"/>
                <w:szCs w:val="20"/>
              </w:rPr>
              <w:t>Тип изменений</w:t>
            </w:r>
          </w:p>
        </w:tc>
      </w:tr>
      <w:tr w:rsidR="00085C53" w:rsidRPr="00B9579A" w14:paraId="264FBD19" w14:textId="77777777" w:rsidTr="00FE1ADF">
        <w:trPr>
          <w:trHeight w:val="501"/>
        </w:trPr>
        <w:tc>
          <w:tcPr>
            <w:tcW w:w="426" w:type="dxa"/>
          </w:tcPr>
          <w:p w14:paraId="465D18BD" w14:textId="77777777" w:rsidR="00085C53" w:rsidRPr="00623913" w:rsidRDefault="00085C53" w:rsidP="00094BBF">
            <w:pPr>
              <w:numPr>
                <w:ilvl w:val="0"/>
                <w:numId w:val="9"/>
              </w:numPr>
              <w:ind w:left="0" w:firstLine="0"/>
              <w:contextualSpacing/>
              <w:rPr>
                <w:rFonts w:ascii="Times New Roman" w:hAnsi="Times New Roman" w:cs="Times New Roman"/>
                <w:sz w:val="20"/>
                <w:szCs w:val="20"/>
              </w:rPr>
            </w:pPr>
          </w:p>
        </w:tc>
        <w:tc>
          <w:tcPr>
            <w:tcW w:w="3005" w:type="dxa"/>
          </w:tcPr>
          <w:p w14:paraId="7C8ADB34" w14:textId="65F738F8" w:rsidR="00085C53" w:rsidRPr="00BB11CA" w:rsidRDefault="00085C53" w:rsidP="00094BBF">
            <w:pPr>
              <w:ind w:firstLine="6"/>
              <w:rPr>
                <w:rFonts w:ascii="Times New Roman" w:hAnsi="Times New Roman" w:cs="Times New Roman"/>
                <w:sz w:val="20"/>
                <w:szCs w:val="20"/>
              </w:rPr>
            </w:pPr>
          </w:p>
        </w:tc>
        <w:tc>
          <w:tcPr>
            <w:tcW w:w="5387" w:type="dxa"/>
          </w:tcPr>
          <w:p w14:paraId="76086435" w14:textId="4C90B186" w:rsidR="00085C53" w:rsidRDefault="00085C53" w:rsidP="00094BBF">
            <w:pPr>
              <w:ind w:firstLine="6"/>
              <w:rPr>
                <w:rFonts w:ascii="Times New Roman" w:hAnsi="Times New Roman" w:cs="Times New Roman"/>
                <w:sz w:val="20"/>
                <w:szCs w:val="20"/>
                <w:lang w:val="en-US"/>
              </w:rPr>
            </w:pPr>
          </w:p>
        </w:tc>
        <w:tc>
          <w:tcPr>
            <w:tcW w:w="4727" w:type="dxa"/>
          </w:tcPr>
          <w:p w14:paraId="3AF92B15" w14:textId="4F78137E" w:rsidR="00085C53" w:rsidRPr="00B9579A" w:rsidRDefault="00085C53" w:rsidP="00B9579A">
            <w:pPr>
              <w:ind w:firstLine="6"/>
              <w:rPr>
                <w:rFonts w:ascii="Times New Roman" w:hAnsi="Times New Roman" w:cs="Times New Roman"/>
                <w:sz w:val="20"/>
                <w:szCs w:val="20"/>
              </w:rPr>
            </w:pPr>
          </w:p>
        </w:tc>
        <w:tc>
          <w:tcPr>
            <w:tcW w:w="1910" w:type="dxa"/>
          </w:tcPr>
          <w:p w14:paraId="03F698C7" w14:textId="5AA03758" w:rsidR="00085C53" w:rsidRPr="00B9579A" w:rsidRDefault="00085C53" w:rsidP="00094BBF">
            <w:pPr>
              <w:rPr>
                <w:rFonts w:ascii="Times New Roman" w:hAnsi="Times New Roman" w:cs="Times New Roman"/>
                <w:sz w:val="20"/>
                <w:szCs w:val="20"/>
                <w:lang w:val="en-US"/>
              </w:rPr>
            </w:pPr>
          </w:p>
        </w:tc>
      </w:tr>
      <w:tr w:rsidR="00204C01" w:rsidRPr="00B9579A" w14:paraId="736ADF17" w14:textId="77777777" w:rsidTr="00FE1ADF">
        <w:trPr>
          <w:trHeight w:val="501"/>
        </w:trPr>
        <w:tc>
          <w:tcPr>
            <w:tcW w:w="426" w:type="dxa"/>
          </w:tcPr>
          <w:p w14:paraId="5C162167" w14:textId="074CC8DD" w:rsidR="00204C01" w:rsidRPr="00B9579A" w:rsidRDefault="00204C01" w:rsidP="00204C01">
            <w:pPr>
              <w:numPr>
                <w:ilvl w:val="0"/>
                <w:numId w:val="9"/>
              </w:numPr>
              <w:ind w:left="0" w:firstLine="0"/>
              <w:contextualSpacing/>
              <w:rPr>
                <w:rFonts w:ascii="Times New Roman" w:hAnsi="Times New Roman" w:cs="Times New Roman"/>
                <w:sz w:val="20"/>
                <w:szCs w:val="20"/>
                <w:lang w:val="en-US"/>
              </w:rPr>
            </w:pPr>
          </w:p>
        </w:tc>
        <w:tc>
          <w:tcPr>
            <w:tcW w:w="3005" w:type="dxa"/>
          </w:tcPr>
          <w:p w14:paraId="580C4488" w14:textId="77777777" w:rsidR="00204C01" w:rsidRPr="00B9579A" w:rsidRDefault="00204C01" w:rsidP="00204C01">
            <w:pPr>
              <w:ind w:firstLine="6"/>
              <w:rPr>
                <w:rFonts w:ascii="Times New Roman" w:hAnsi="Times New Roman" w:cs="Times New Roman"/>
                <w:sz w:val="20"/>
                <w:szCs w:val="20"/>
                <w:lang w:val="en-US"/>
              </w:rPr>
            </w:pPr>
          </w:p>
        </w:tc>
        <w:tc>
          <w:tcPr>
            <w:tcW w:w="5387" w:type="dxa"/>
          </w:tcPr>
          <w:p w14:paraId="69AE069F" w14:textId="54FDA64E" w:rsidR="00204C01" w:rsidRPr="00B9579A" w:rsidRDefault="00204C01" w:rsidP="00204C01">
            <w:pPr>
              <w:ind w:firstLine="6"/>
              <w:rPr>
                <w:rFonts w:ascii="Times New Roman" w:hAnsi="Times New Roman" w:cs="Times New Roman"/>
                <w:sz w:val="20"/>
                <w:szCs w:val="20"/>
                <w:lang w:val="en-US"/>
              </w:rPr>
            </w:pPr>
          </w:p>
        </w:tc>
        <w:tc>
          <w:tcPr>
            <w:tcW w:w="4727" w:type="dxa"/>
          </w:tcPr>
          <w:p w14:paraId="5440ED35" w14:textId="47C46904" w:rsidR="00204C01" w:rsidRPr="00B9579A" w:rsidRDefault="00204C01" w:rsidP="00204C01">
            <w:pPr>
              <w:ind w:firstLine="6"/>
              <w:rPr>
                <w:rFonts w:ascii="Times New Roman" w:hAnsi="Times New Roman" w:cs="Times New Roman"/>
                <w:sz w:val="20"/>
                <w:szCs w:val="20"/>
              </w:rPr>
            </w:pPr>
          </w:p>
        </w:tc>
        <w:tc>
          <w:tcPr>
            <w:tcW w:w="1910" w:type="dxa"/>
          </w:tcPr>
          <w:p w14:paraId="59D8F639" w14:textId="58517362" w:rsidR="00204C01" w:rsidRPr="00B9579A" w:rsidRDefault="00204C01" w:rsidP="00204C01">
            <w:pPr>
              <w:rPr>
                <w:rFonts w:ascii="Times New Roman" w:hAnsi="Times New Roman" w:cs="Times New Roman"/>
                <w:sz w:val="20"/>
                <w:szCs w:val="20"/>
              </w:rPr>
            </w:pPr>
          </w:p>
        </w:tc>
      </w:tr>
      <w:tr w:rsidR="00204C01" w:rsidRPr="00B9579A" w14:paraId="06909A23" w14:textId="77777777" w:rsidTr="00FE1ADF">
        <w:trPr>
          <w:trHeight w:val="501"/>
        </w:trPr>
        <w:tc>
          <w:tcPr>
            <w:tcW w:w="426" w:type="dxa"/>
          </w:tcPr>
          <w:p w14:paraId="65FD7542" w14:textId="713B84CE" w:rsidR="00204C01" w:rsidRPr="00B9579A" w:rsidRDefault="00204C01" w:rsidP="00204C01">
            <w:pPr>
              <w:numPr>
                <w:ilvl w:val="0"/>
                <w:numId w:val="9"/>
              </w:numPr>
              <w:ind w:left="0" w:firstLine="0"/>
              <w:contextualSpacing/>
              <w:rPr>
                <w:rFonts w:ascii="Times New Roman" w:hAnsi="Times New Roman" w:cs="Times New Roman"/>
                <w:sz w:val="20"/>
                <w:szCs w:val="20"/>
              </w:rPr>
            </w:pPr>
          </w:p>
        </w:tc>
        <w:tc>
          <w:tcPr>
            <w:tcW w:w="3005" w:type="dxa"/>
          </w:tcPr>
          <w:p w14:paraId="47884137" w14:textId="1A012302" w:rsidR="00204C01" w:rsidRPr="00B9579A" w:rsidRDefault="00204C01" w:rsidP="00204C01">
            <w:pPr>
              <w:ind w:firstLine="6"/>
              <w:rPr>
                <w:rFonts w:ascii="Times New Roman" w:hAnsi="Times New Roman" w:cs="Times New Roman"/>
                <w:sz w:val="20"/>
                <w:szCs w:val="20"/>
              </w:rPr>
            </w:pPr>
          </w:p>
        </w:tc>
        <w:tc>
          <w:tcPr>
            <w:tcW w:w="5387" w:type="dxa"/>
          </w:tcPr>
          <w:p w14:paraId="513AA575" w14:textId="10AB62FC" w:rsidR="00204C01" w:rsidRPr="00B9579A" w:rsidRDefault="00204C01" w:rsidP="00204C01">
            <w:pPr>
              <w:ind w:firstLine="6"/>
              <w:rPr>
                <w:rFonts w:ascii="Times New Roman" w:hAnsi="Times New Roman" w:cs="Times New Roman"/>
                <w:sz w:val="20"/>
                <w:szCs w:val="20"/>
                <w:lang w:val="en-US"/>
              </w:rPr>
            </w:pPr>
          </w:p>
        </w:tc>
        <w:tc>
          <w:tcPr>
            <w:tcW w:w="4727" w:type="dxa"/>
          </w:tcPr>
          <w:p w14:paraId="51EA6879" w14:textId="6EC4D850" w:rsidR="00204C01" w:rsidRPr="00B9579A" w:rsidRDefault="00204C01" w:rsidP="00204C01">
            <w:pPr>
              <w:ind w:firstLine="6"/>
              <w:rPr>
                <w:rFonts w:ascii="Times New Roman" w:hAnsi="Times New Roman" w:cs="Times New Roman"/>
                <w:sz w:val="20"/>
                <w:szCs w:val="20"/>
              </w:rPr>
            </w:pPr>
          </w:p>
        </w:tc>
        <w:tc>
          <w:tcPr>
            <w:tcW w:w="1910" w:type="dxa"/>
          </w:tcPr>
          <w:p w14:paraId="28B6C42C" w14:textId="21E1CEBC" w:rsidR="00204C01" w:rsidRPr="00B9579A" w:rsidRDefault="00204C01" w:rsidP="00204C01">
            <w:pPr>
              <w:rPr>
                <w:rFonts w:ascii="Times New Roman" w:hAnsi="Times New Roman" w:cs="Times New Roman"/>
                <w:sz w:val="20"/>
                <w:szCs w:val="20"/>
              </w:rPr>
            </w:pPr>
          </w:p>
        </w:tc>
      </w:tr>
      <w:tr w:rsidR="00204C01" w:rsidRPr="00B9579A" w14:paraId="123B4BDA" w14:textId="77777777" w:rsidTr="00FE1ADF">
        <w:trPr>
          <w:trHeight w:val="501"/>
        </w:trPr>
        <w:tc>
          <w:tcPr>
            <w:tcW w:w="426" w:type="dxa"/>
          </w:tcPr>
          <w:p w14:paraId="7475F57F" w14:textId="1BF2C541" w:rsidR="00204C01" w:rsidRPr="00B9579A" w:rsidRDefault="00204C01" w:rsidP="00204C01">
            <w:pPr>
              <w:numPr>
                <w:ilvl w:val="0"/>
                <w:numId w:val="9"/>
              </w:numPr>
              <w:ind w:left="0" w:firstLine="0"/>
              <w:contextualSpacing/>
              <w:rPr>
                <w:rFonts w:ascii="Times New Roman" w:hAnsi="Times New Roman" w:cs="Times New Roman"/>
                <w:sz w:val="20"/>
                <w:szCs w:val="20"/>
              </w:rPr>
            </w:pPr>
          </w:p>
        </w:tc>
        <w:tc>
          <w:tcPr>
            <w:tcW w:w="3005" w:type="dxa"/>
          </w:tcPr>
          <w:p w14:paraId="6C57FF99" w14:textId="77777777" w:rsidR="00204C01" w:rsidRPr="00B9579A" w:rsidRDefault="00204C01" w:rsidP="00204C01">
            <w:pPr>
              <w:ind w:firstLine="6"/>
              <w:rPr>
                <w:rFonts w:ascii="Times New Roman" w:hAnsi="Times New Roman" w:cs="Times New Roman"/>
                <w:sz w:val="20"/>
                <w:szCs w:val="20"/>
              </w:rPr>
            </w:pPr>
          </w:p>
        </w:tc>
        <w:tc>
          <w:tcPr>
            <w:tcW w:w="5387" w:type="dxa"/>
          </w:tcPr>
          <w:p w14:paraId="06F5712B" w14:textId="14FC7162" w:rsidR="00204C01" w:rsidRPr="00B9579A" w:rsidRDefault="00204C01" w:rsidP="00204C01">
            <w:pPr>
              <w:ind w:firstLine="6"/>
              <w:rPr>
                <w:rFonts w:ascii="Times New Roman" w:hAnsi="Times New Roman" w:cs="Times New Roman"/>
                <w:sz w:val="20"/>
                <w:szCs w:val="20"/>
                <w:lang w:val="en-US"/>
              </w:rPr>
            </w:pPr>
          </w:p>
        </w:tc>
        <w:tc>
          <w:tcPr>
            <w:tcW w:w="4727" w:type="dxa"/>
          </w:tcPr>
          <w:p w14:paraId="11033758" w14:textId="3DB99E58" w:rsidR="00204C01" w:rsidRPr="00B9579A" w:rsidRDefault="00204C01" w:rsidP="00204C01">
            <w:pPr>
              <w:ind w:firstLine="6"/>
              <w:rPr>
                <w:rFonts w:ascii="Times New Roman" w:hAnsi="Times New Roman" w:cs="Times New Roman"/>
                <w:sz w:val="20"/>
                <w:szCs w:val="20"/>
              </w:rPr>
            </w:pPr>
          </w:p>
        </w:tc>
        <w:tc>
          <w:tcPr>
            <w:tcW w:w="1910" w:type="dxa"/>
          </w:tcPr>
          <w:p w14:paraId="436EF1B4" w14:textId="38A8C5D0" w:rsidR="00204C01" w:rsidRPr="00B9579A" w:rsidRDefault="00204C01" w:rsidP="00204C01">
            <w:pPr>
              <w:rPr>
                <w:rFonts w:ascii="Times New Roman" w:hAnsi="Times New Roman" w:cs="Times New Roman"/>
                <w:sz w:val="20"/>
                <w:szCs w:val="20"/>
              </w:rPr>
            </w:pPr>
          </w:p>
        </w:tc>
      </w:tr>
      <w:tr w:rsidR="00204C01" w:rsidRPr="00B9579A" w14:paraId="6E6A33FE" w14:textId="77777777" w:rsidTr="00FE1ADF">
        <w:trPr>
          <w:trHeight w:val="501"/>
        </w:trPr>
        <w:tc>
          <w:tcPr>
            <w:tcW w:w="426" w:type="dxa"/>
          </w:tcPr>
          <w:p w14:paraId="07D9AC49" w14:textId="321C8D07" w:rsidR="00204C01" w:rsidRPr="00B9579A" w:rsidRDefault="00204C01" w:rsidP="00204C01">
            <w:pPr>
              <w:numPr>
                <w:ilvl w:val="0"/>
                <w:numId w:val="9"/>
              </w:numPr>
              <w:ind w:left="0" w:firstLine="0"/>
              <w:contextualSpacing/>
              <w:rPr>
                <w:rFonts w:ascii="Times New Roman" w:hAnsi="Times New Roman" w:cs="Times New Roman"/>
                <w:sz w:val="20"/>
                <w:szCs w:val="20"/>
              </w:rPr>
            </w:pPr>
          </w:p>
        </w:tc>
        <w:tc>
          <w:tcPr>
            <w:tcW w:w="3005" w:type="dxa"/>
          </w:tcPr>
          <w:p w14:paraId="44B327F0" w14:textId="77777777" w:rsidR="00204C01" w:rsidRPr="00B9579A" w:rsidRDefault="00204C01" w:rsidP="00204C01">
            <w:pPr>
              <w:ind w:firstLine="6"/>
              <w:rPr>
                <w:rFonts w:ascii="Times New Roman" w:hAnsi="Times New Roman" w:cs="Times New Roman"/>
                <w:sz w:val="20"/>
                <w:szCs w:val="20"/>
              </w:rPr>
            </w:pPr>
          </w:p>
        </w:tc>
        <w:tc>
          <w:tcPr>
            <w:tcW w:w="5387" w:type="dxa"/>
          </w:tcPr>
          <w:p w14:paraId="280FFD9A" w14:textId="1754B6E7" w:rsidR="00204C01" w:rsidRPr="00B9579A" w:rsidRDefault="00204C01" w:rsidP="00204C01">
            <w:pPr>
              <w:ind w:firstLine="6"/>
              <w:rPr>
                <w:rFonts w:ascii="Times New Roman" w:hAnsi="Times New Roman" w:cs="Times New Roman"/>
                <w:sz w:val="20"/>
                <w:szCs w:val="20"/>
                <w:lang w:val="en-US"/>
              </w:rPr>
            </w:pPr>
          </w:p>
        </w:tc>
        <w:tc>
          <w:tcPr>
            <w:tcW w:w="4727" w:type="dxa"/>
          </w:tcPr>
          <w:p w14:paraId="0880C781" w14:textId="30CBD91B" w:rsidR="00204C01" w:rsidRPr="00B9579A" w:rsidRDefault="00204C01" w:rsidP="00204C01">
            <w:pPr>
              <w:ind w:firstLine="6"/>
              <w:rPr>
                <w:rFonts w:ascii="Times New Roman" w:hAnsi="Times New Roman" w:cs="Times New Roman"/>
                <w:sz w:val="20"/>
                <w:szCs w:val="20"/>
              </w:rPr>
            </w:pPr>
          </w:p>
        </w:tc>
        <w:tc>
          <w:tcPr>
            <w:tcW w:w="1910" w:type="dxa"/>
          </w:tcPr>
          <w:p w14:paraId="4F724913" w14:textId="33968728" w:rsidR="00204C01" w:rsidRPr="00B9579A" w:rsidRDefault="00204C01" w:rsidP="00204C01">
            <w:pPr>
              <w:rPr>
                <w:rFonts w:ascii="Times New Roman" w:hAnsi="Times New Roman" w:cs="Times New Roman"/>
                <w:sz w:val="20"/>
                <w:szCs w:val="20"/>
              </w:rPr>
            </w:pPr>
          </w:p>
        </w:tc>
      </w:tr>
      <w:tr w:rsidR="00204C01" w:rsidRPr="00B9579A" w14:paraId="1871A248" w14:textId="77777777" w:rsidTr="00FE1ADF">
        <w:trPr>
          <w:trHeight w:val="501"/>
        </w:trPr>
        <w:tc>
          <w:tcPr>
            <w:tcW w:w="426" w:type="dxa"/>
          </w:tcPr>
          <w:p w14:paraId="7B598C29" w14:textId="4C3EC43F" w:rsidR="00204C01" w:rsidRPr="00B9579A" w:rsidRDefault="00204C01" w:rsidP="00204C01">
            <w:pPr>
              <w:numPr>
                <w:ilvl w:val="0"/>
                <w:numId w:val="9"/>
              </w:numPr>
              <w:ind w:left="0" w:firstLine="0"/>
              <w:contextualSpacing/>
              <w:rPr>
                <w:rFonts w:ascii="Times New Roman" w:hAnsi="Times New Roman" w:cs="Times New Roman"/>
                <w:sz w:val="20"/>
                <w:szCs w:val="20"/>
              </w:rPr>
            </w:pPr>
          </w:p>
        </w:tc>
        <w:tc>
          <w:tcPr>
            <w:tcW w:w="3005" w:type="dxa"/>
          </w:tcPr>
          <w:p w14:paraId="3562E885" w14:textId="77777777" w:rsidR="00204C01" w:rsidRPr="00B9579A" w:rsidRDefault="00204C01" w:rsidP="00204C01">
            <w:pPr>
              <w:ind w:firstLine="6"/>
              <w:rPr>
                <w:rFonts w:ascii="Times New Roman" w:hAnsi="Times New Roman" w:cs="Times New Roman"/>
                <w:sz w:val="20"/>
                <w:szCs w:val="20"/>
              </w:rPr>
            </w:pPr>
          </w:p>
        </w:tc>
        <w:tc>
          <w:tcPr>
            <w:tcW w:w="5387" w:type="dxa"/>
          </w:tcPr>
          <w:p w14:paraId="2E7F1840" w14:textId="7690E6B3" w:rsidR="00204C01" w:rsidRPr="00B9579A" w:rsidRDefault="00204C01" w:rsidP="00204C01">
            <w:pPr>
              <w:ind w:firstLine="6"/>
              <w:rPr>
                <w:rFonts w:ascii="Times New Roman" w:hAnsi="Times New Roman" w:cs="Times New Roman"/>
                <w:sz w:val="20"/>
                <w:szCs w:val="20"/>
                <w:lang w:val="en-US"/>
              </w:rPr>
            </w:pPr>
          </w:p>
        </w:tc>
        <w:tc>
          <w:tcPr>
            <w:tcW w:w="4727" w:type="dxa"/>
          </w:tcPr>
          <w:p w14:paraId="5CD2123C" w14:textId="2B40F8AE" w:rsidR="00204C01" w:rsidRPr="00B9579A" w:rsidRDefault="00204C01" w:rsidP="00204C01">
            <w:pPr>
              <w:ind w:firstLine="6"/>
              <w:rPr>
                <w:rFonts w:ascii="Times New Roman" w:hAnsi="Times New Roman" w:cs="Times New Roman"/>
                <w:sz w:val="20"/>
                <w:szCs w:val="20"/>
              </w:rPr>
            </w:pPr>
          </w:p>
        </w:tc>
        <w:tc>
          <w:tcPr>
            <w:tcW w:w="1910" w:type="dxa"/>
          </w:tcPr>
          <w:p w14:paraId="0212707A" w14:textId="27F98A72" w:rsidR="00204C01" w:rsidRPr="00B9579A" w:rsidRDefault="00204C01" w:rsidP="00204C01">
            <w:pPr>
              <w:rPr>
                <w:rFonts w:ascii="Times New Roman" w:hAnsi="Times New Roman" w:cs="Times New Roman"/>
                <w:sz w:val="20"/>
                <w:szCs w:val="20"/>
              </w:rPr>
            </w:pPr>
          </w:p>
        </w:tc>
      </w:tr>
      <w:tr w:rsidR="00204C01" w:rsidRPr="00B9579A" w14:paraId="647F1990" w14:textId="77777777" w:rsidTr="00FE1ADF">
        <w:trPr>
          <w:trHeight w:val="501"/>
        </w:trPr>
        <w:tc>
          <w:tcPr>
            <w:tcW w:w="426" w:type="dxa"/>
          </w:tcPr>
          <w:p w14:paraId="59289E26" w14:textId="77777777" w:rsidR="00204C01" w:rsidRPr="00B9579A" w:rsidRDefault="00204C01" w:rsidP="00204C01">
            <w:pPr>
              <w:numPr>
                <w:ilvl w:val="0"/>
                <w:numId w:val="9"/>
              </w:numPr>
              <w:ind w:left="0" w:firstLine="0"/>
              <w:contextualSpacing/>
              <w:rPr>
                <w:rFonts w:ascii="Times New Roman" w:hAnsi="Times New Roman" w:cs="Times New Roman"/>
                <w:sz w:val="20"/>
                <w:szCs w:val="20"/>
              </w:rPr>
            </w:pPr>
          </w:p>
        </w:tc>
        <w:tc>
          <w:tcPr>
            <w:tcW w:w="3005" w:type="dxa"/>
          </w:tcPr>
          <w:p w14:paraId="0647EAFB" w14:textId="77777777" w:rsidR="00204C01" w:rsidRPr="00B9579A" w:rsidRDefault="00204C01" w:rsidP="00204C01">
            <w:pPr>
              <w:ind w:firstLine="6"/>
              <w:rPr>
                <w:rFonts w:ascii="Times New Roman" w:hAnsi="Times New Roman" w:cs="Times New Roman"/>
                <w:sz w:val="20"/>
                <w:szCs w:val="20"/>
              </w:rPr>
            </w:pPr>
          </w:p>
        </w:tc>
        <w:tc>
          <w:tcPr>
            <w:tcW w:w="5387" w:type="dxa"/>
          </w:tcPr>
          <w:p w14:paraId="100E4420" w14:textId="26E50DFB" w:rsidR="00204C01" w:rsidRPr="00B9579A" w:rsidRDefault="00204C01" w:rsidP="00204C01">
            <w:pPr>
              <w:ind w:firstLine="6"/>
              <w:rPr>
                <w:rFonts w:ascii="Times New Roman" w:hAnsi="Times New Roman" w:cs="Times New Roman"/>
                <w:sz w:val="20"/>
                <w:szCs w:val="20"/>
                <w:lang w:val="en-US"/>
              </w:rPr>
            </w:pPr>
            <w:r w:rsidRPr="00B9579A">
              <w:rPr>
                <w:rFonts w:ascii="Times New Roman" w:hAnsi="Times New Roman" w:cs="Times New Roman"/>
                <w:sz w:val="20"/>
                <w:szCs w:val="20"/>
                <w:lang w:val="en-US"/>
              </w:rPr>
              <w:t>CorporateActionInstruction/Document/CorpActnInstr/CorpActnInstr/CcyOptn</w:t>
            </w:r>
          </w:p>
        </w:tc>
        <w:tc>
          <w:tcPr>
            <w:tcW w:w="4727" w:type="dxa"/>
          </w:tcPr>
          <w:p w14:paraId="0E584829" w14:textId="683B81A9" w:rsidR="00204C01" w:rsidRPr="00B9579A" w:rsidRDefault="00204C01" w:rsidP="00204C01">
            <w:pPr>
              <w:ind w:firstLine="6"/>
              <w:rPr>
                <w:rFonts w:ascii="Times New Roman" w:hAnsi="Times New Roman" w:cs="Times New Roman"/>
                <w:sz w:val="20"/>
                <w:szCs w:val="20"/>
              </w:rPr>
            </w:pPr>
            <w:r w:rsidRPr="00B9579A">
              <w:rPr>
                <w:rFonts w:ascii="Times New Roman" w:hAnsi="Times New Roman" w:cs="Times New Roman"/>
                <w:sz w:val="20"/>
                <w:szCs w:val="20"/>
              </w:rPr>
              <w:t>Поле выбор валюты сделано опциональным для РКД INTR, REDM, MCAL, BPUT, PRED</w:t>
            </w:r>
          </w:p>
        </w:tc>
        <w:tc>
          <w:tcPr>
            <w:tcW w:w="1910" w:type="dxa"/>
          </w:tcPr>
          <w:p w14:paraId="6BD4F9C6" w14:textId="0E839111" w:rsidR="00204C01" w:rsidRPr="00B9579A" w:rsidRDefault="00204C01" w:rsidP="00204C01">
            <w:pPr>
              <w:rPr>
                <w:rFonts w:ascii="Times New Roman" w:hAnsi="Times New Roman" w:cs="Times New Roman"/>
                <w:sz w:val="20"/>
                <w:szCs w:val="20"/>
              </w:rPr>
            </w:pPr>
            <w:r>
              <w:rPr>
                <w:rFonts w:ascii="Times New Roman" w:hAnsi="Times New Roman" w:cs="Times New Roman"/>
                <w:sz w:val="20"/>
                <w:szCs w:val="20"/>
              </w:rPr>
              <w:t>Изменен сценарий использования</w:t>
            </w:r>
          </w:p>
        </w:tc>
      </w:tr>
    </w:tbl>
    <w:p w14:paraId="3031F010" w14:textId="77777777" w:rsidR="002868D5" w:rsidRPr="00623913" w:rsidRDefault="002868D5" w:rsidP="00496382">
      <w:pPr>
        <w:spacing w:after="0"/>
        <w:rPr>
          <w:rFonts w:ascii="Times New Roman" w:hAnsi="Times New Roman" w:cs="Times New Roman"/>
          <w:sz w:val="20"/>
          <w:szCs w:val="20"/>
        </w:rPr>
      </w:pPr>
    </w:p>
    <w:p w14:paraId="06D364CA" w14:textId="3B368EB6" w:rsidR="002868D5" w:rsidRDefault="002868D5" w:rsidP="00D91797">
      <w:pPr>
        <w:keepNext/>
        <w:keepLines/>
        <w:numPr>
          <w:ilvl w:val="0"/>
          <w:numId w:val="3"/>
        </w:numPr>
        <w:spacing w:after="0"/>
        <w:outlineLvl w:val="1"/>
        <w:rPr>
          <w:rFonts w:ascii="Times New Roman" w:hAnsi="Times New Roman" w:cs="Times New Roman"/>
          <w:b/>
          <w:sz w:val="20"/>
          <w:szCs w:val="20"/>
        </w:rPr>
      </w:pPr>
      <w:r w:rsidRPr="00623913">
        <w:rPr>
          <w:rFonts w:ascii="Times New Roman" w:hAnsi="Times New Roman" w:cs="Times New Roman"/>
          <w:b/>
          <w:sz w:val="20"/>
          <w:szCs w:val="20"/>
        </w:rPr>
        <w:t xml:space="preserve">Описание изменений аннотаций (комментариев), которые вступают в силу </w:t>
      </w:r>
      <w:r w:rsidR="00D91797" w:rsidRPr="00D91797">
        <w:rPr>
          <w:rFonts w:ascii="Times New Roman" w:hAnsi="Times New Roman" w:cs="Times New Roman"/>
          <w:b/>
          <w:sz w:val="20"/>
          <w:szCs w:val="20"/>
        </w:rPr>
        <w:t xml:space="preserve">26.02.2024 </w:t>
      </w:r>
      <w:r w:rsidR="001B3A3D" w:rsidRPr="00623913">
        <w:rPr>
          <w:rFonts w:ascii="Times New Roman" w:hAnsi="Times New Roman" w:cs="Times New Roman"/>
          <w:b/>
          <w:sz w:val="20"/>
          <w:szCs w:val="20"/>
        </w:rPr>
        <w:t>года</w:t>
      </w:r>
    </w:p>
    <w:p w14:paraId="370DA3F9" w14:textId="77777777" w:rsidR="00D91797" w:rsidRPr="00623913" w:rsidRDefault="00D91797" w:rsidP="00D91797">
      <w:bookmarkStart w:id="0" w:name="_GoBack"/>
      <w:bookmarkEnd w:id="0"/>
    </w:p>
    <w:tbl>
      <w:tblPr>
        <w:tblStyle w:val="611"/>
        <w:tblW w:w="15451" w:type="dxa"/>
        <w:tblInd w:w="137" w:type="dxa"/>
        <w:tblLayout w:type="fixed"/>
        <w:tblLook w:val="04A0" w:firstRow="1" w:lastRow="0" w:firstColumn="1" w:lastColumn="0" w:noHBand="0" w:noVBand="1"/>
      </w:tblPr>
      <w:tblGrid>
        <w:gridCol w:w="425"/>
        <w:gridCol w:w="2977"/>
        <w:gridCol w:w="5482"/>
        <w:gridCol w:w="4724"/>
        <w:gridCol w:w="1843"/>
      </w:tblGrid>
      <w:tr w:rsidR="00D91797" w:rsidRPr="00D91797" w14:paraId="0FA52B09" w14:textId="77777777" w:rsidTr="00482450">
        <w:tc>
          <w:tcPr>
            <w:tcW w:w="425" w:type="dxa"/>
          </w:tcPr>
          <w:p w14:paraId="10CA554D" w14:textId="0CF53412" w:rsidR="00D91797" w:rsidRDefault="00D91797" w:rsidP="00D91797">
            <w:pPr>
              <w:rPr>
                <w:rFonts w:ascii="Times New Roman" w:hAnsi="Times New Roman" w:cs="Times New Roman"/>
                <w:sz w:val="20"/>
                <w:szCs w:val="20"/>
              </w:rPr>
            </w:pPr>
            <w:r w:rsidRPr="00623913">
              <w:rPr>
                <w:rFonts w:ascii="Times New Roman" w:hAnsi="Times New Roman" w:cs="Times New Roman"/>
                <w:b/>
                <w:i/>
                <w:sz w:val="20"/>
                <w:szCs w:val="20"/>
              </w:rPr>
              <w:t>№</w:t>
            </w:r>
          </w:p>
        </w:tc>
        <w:tc>
          <w:tcPr>
            <w:tcW w:w="2977" w:type="dxa"/>
            <w:vAlign w:val="center"/>
          </w:tcPr>
          <w:p w14:paraId="3D37287D" w14:textId="53B66E69" w:rsidR="00D91797" w:rsidRPr="00D91797" w:rsidRDefault="00D91797" w:rsidP="00D91797">
            <w:pPr>
              <w:ind w:left="34"/>
              <w:jc w:val="center"/>
              <w:rPr>
                <w:rFonts w:ascii="Times New Roman" w:hAnsi="Times New Roman" w:cs="Times New Roman"/>
              </w:rPr>
            </w:pPr>
            <w:r w:rsidRPr="00623913">
              <w:rPr>
                <w:rFonts w:ascii="Times New Roman" w:hAnsi="Times New Roman" w:cs="Times New Roman"/>
                <w:b/>
                <w:i/>
                <w:sz w:val="20"/>
                <w:szCs w:val="20"/>
              </w:rPr>
              <w:t>Документ</w:t>
            </w:r>
          </w:p>
        </w:tc>
        <w:tc>
          <w:tcPr>
            <w:tcW w:w="5482" w:type="dxa"/>
            <w:vAlign w:val="center"/>
          </w:tcPr>
          <w:p w14:paraId="08192220" w14:textId="0F44D4FC" w:rsidR="00D91797" w:rsidRPr="00D91797" w:rsidRDefault="00D91797" w:rsidP="00D91797">
            <w:pPr>
              <w:jc w:val="center"/>
              <w:rPr>
                <w:rFonts w:ascii="Times New Roman" w:hAnsi="Times New Roman" w:cs="Times New Roman"/>
                <w:sz w:val="20"/>
                <w:szCs w:val="20"/>
                <w:lang w:val="en-US"/>
              </w:rPr>
            </w:pPr>
            <w:r w:rsidRPr="00623913">
              <w:rPr>
                <w:rFonts w:ascii="Times New Roman" w:hAnsi="Times New Roman" w:cs="Times New Roman"/>
                <w:b/>
                <w:i/>
                <w:sz w:val="20"/>
                <w:szCs w:val="20"/>
              </w:rPr>
              <w:t>Путь (xpath)</w:t>
            </w:r>
          </w:p>
        </w:tc>
        <w:tc>
          <w:tcPr>
            <w:tcW w:w="4724" w:type="dxa"/>
            <w:vAlign w:val="center"/>
          </w:tcPr>
          <w:p w14:paraId="473EC984" w14:textId="5EAB891C" w:rsidR="00D91797" w:rsidRPr="00D91797" w:rsidRDefault="00D91797" w:rsidP="00D91797">
            <w:pPr>
              <w:jc w:val="center"/>
              <w:rPr>
                <w:rFonts w:ascii="Calibri" w:eastAsia="Calibri" w:hAnsi="Calibri" w:cs="Calibri"/>
                <w:b/>
                <w:bCs/>
                <w:color w:val="1F497D"/>
              </w:rPr>
            </w:pPr>
            <w:r w:rsidRPr="00623913">
              <w:rPr>
                <w:rFonts w:ascii="Times New Roman" w:hAnsi="Times New Roman" w:cs="Times New Roman"/>
                <w:b/>
                <w:i/>
                <w:sz w:val="20"/>
                <w:szCs w:val="20"/>
              </w:rPr>
              <w:t>Пояснение НРД</w:t>
            </w:r>
          </w:p>
        </w:tc>
        <w:tc>
          <w:tcPr>
            <w:tcW w:w="1843" w:type="dxa"/>
            <w:vAlign w:val="center"/>
          </w:tcPr>
          <w:p w14:paraId="4EC5A704" w14:textId="75B7CE89" w:rsidR="00D91797" w:rsidRPr="00D91797" w:rsidRDefault="00D91797" w:rsidP="00D91797">
            <w:pPr>
              <w:jc w:val="center"/>
              <w:rPr>
                <w:rFonts w:ascii="Times New Roman" w:hAnsi="Times New Roman" w:cs="Times New Roman"/>
                <w:sz w:val="20"/>
                <w:szCs w:val="20"/>
              </w:rPr>
            </w:pPr>
            <w:r w:rsidRPr="00623913">
              <w:rPr>
                <w:rFonts w:ascii="Times New Roman" w:hAnsi="Times New Roman" w:cs="Times New Roman"/>
                <w:b/>
                <w:i/>
                <w:sz w:val="20"/>
                <w:szCs w:val="20"/>
              </w:rPr>
              <w:t>Тип изменений</w:t>
            </w:r>
          </w:p>
        </w:tc>
      </w:tr>
      <w:tr w:rsidR="00D91797" w:rsidRPr="00D91797" w14:paraId="70E7D5B3" w14:textId="77777777" w:rsidTr="00D91797">
        <w:tc>
          <w:tcPr>
            <w:tcW w:w="425" w:type="dxa"/>
          </w:tcPr>
          <w:p w14:paraId="69499072" w14:textId="33013BA9" w:rsidR="00D91797" w:rsidRPr="00D91797" w:rsidRDefault="00D91797" w:rsidP="00D91797">
            <w:pPr>
              <w:ind w:left="34"/>
              <w:rPr>
                <w:rFonts w:ascii="Times New Roman" w:hAnsi="Times New Roman" w:cs="Times New Roman"/>
              </w:rPr>
            </w:pPr>
            <w:r>
              <w:rPr>
                <w:rFonts w:ascii="Times New Roman" w:hAnsi="Times New Roman" w:cs="Times New Roman"/>
                <w:sz w:val="20"/>
                <w:szCs w:val="20"/>
              </w:rPr>
              <w:t>№</w:t>
            </w:r>
          </w:p>
        </w:tc>
        <w:tc>
          <w:tcPr>
            <w:tcW w:w="2977" w:type="dxa"/>
          </w:tcPr>
          <w:p w14:paraId="2C075F27" w14:textId="2A3C605D" w:rsidR="00D91797" w:rsidRPr="00D91797" w:rsidRDefault="00D91797" w:rsidP="00D91797">
            <w:pPr>
              <w:ind w:left="34"/>
              <w:rPr>
                <w:rFonts w:ascii="Times New Roman" w:hAnsi="Times New Roman" w:cs="Times New Roman"/>
              </w:rPr>
            </w:pPr>
            <w:r w:rsidRPr="00D91797">
              <w:rPr>
                <w:rFonts w:ascii="Times New Roman" w:hAnsi="Times New Roman" w:cs="Times New Roman"/>
              </w:rPr>
              <w:t>Уведомление о корпоративном действии / CorporateActionNotification (seev.031.001.04)</w:t>
            </w:r>
          </w:p>
        </w:tc>
        <w:tc>
          <w:tcPr>
            <w:tcW w:w="5482" w:type="dxa"/>
          </w:tcPr>
          <w:p w14:paraId="31DA1457" w14:textId="77777777" w:rsidR="00D91797" w:rsidRPr="00D91797" w:rsidRDefault="00D91797" w:rsidP="00D91797">
            <w:pPr>
              <w:rPr>
                <w:rFonts w:ascii="Times New Roman" w:hAnsi="Times New Roman" w:cs="Times New Roman"/>
                <w:sz w:val="20"/>
                <w:szCs w:val="20"/>
                <w:lang w:val="en-US"/>
              </w:rPr>
            </w:pPr>
            <w:r w:rsidRPr="00D91797">
              <w:rPr>
                <w:rFonts w:ascii="Times New Roman" w:hAnsi="Times New Roman" w:cs="Times New Roman"/>
                <w:sz w:val="20"/>
                <w:szCs w:val="20"/>
                <w:lang w:val="en-US"/>
              </w:rPr>
              <w:t>CorporateActionNotification/Document/CorpActnNtfctn/CorpActnOptnDtls/*)</w:t>
            </w:r>
          </w:p>
        </w:tc>
        <w:tc>
          <w:tcPr>
            <w:tcW w:w="4724" w:type="dxa"/>
          </w:tcPr>
          <w:p w14:paraId="164B17CA"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b/>
                <w:bCs/>
                <w:color w:val="1F497D"/>
              </w:rPr>
              <w:t>Было</w:t>
            </w:r>
            <w:r w:rsidRPr="00D91797">
              <w:rPr>
                <w:rFonts w:ascii="Calibri" w:eastAsia="Calibri" w:hAnsi="Calibri" w:cs="Calibri"/>
                <w:color w:val="1F497D"/>
              </w:rPr>
              <w:t>:</w:t>
            </w:r>
          </w:p>
          <w:p w14:paraId="59DC4D1D"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color w:val="1F497D"/>
              </w:rPr>
              <w:t>Для КД BPUT по российским ценным бумагам.</w:t>
            </w:r>
          </w:p>
          <w:p w14:paraId="73873C3B"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color w:val="1F497D"/>
              </w:rPr>
              <w:t>В уведомлении о  КД должно быть указано строго два блока CorpActnOptnDtls (два варианта КД). Первый вариант 001 должен иметь признак CASH, флаг обработки по умолчанию false, направление движения денежных средств CRDT, направление движения ценных бумаг DBIT, признак условий варианта (где указана возможность/невозможность подачи требований через Биржу).</w:t>
            </w:r>
          </w:p>
          <w:p w14:paraId="261E9673"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color w:val="1F497D"/>
              </w:rPr>
              <w:lastRenderedPageBreak/>
              <w:t>Второй вариант 002 должен иметь признак NOAC и флаг обработки по умолчанию true.</w:t>
            </w:r>
          </w:p>
          <w:p w14:paraId="7E7E8CB8"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b/>
                <w:bCs/>
                <w:color w:val="1F497D"/>
              </w:rPr>
              <w:t>Стало</w:t>
            </w:r>
            <w:r w:rsidRPr="00D91797">
              <w:rPr>
                <w:rFonts w:ascii="Calibri" w:eastAsia="Calibri" w:hAnsi="Calibri" w:cs="Calibri"/>
                <w:color w:val="1F497D"/>
              </w:rPr>
              <w:t>:</w:t>
            </w:r>
          </w:p>
          <w:p w14:paraId="57E971F8"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color w:val="1F497D"/>
              </w:rPr>
              <w:t>Для КД BPUT по российским ценным бумагам.</w:t>
            </w:r>
          </w:p>
          <w:p w14:paraId="31C60C23"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color w:val="1F497D"/>
              </w:rPr>
              <w:t xml:space="preserve">В уведомлении о  КД должно быть указано </w:t>
            </w:r>
            <w:r w:rsidRPr="00D91797">
              <w:rPr>
                <w:rFonts w:ascii="Calibri" w:eastAsia="Calibri" w:hAnsi="Calibri" w:cs="Calibri"/>
                <w:strike/>
                <w:color w:val="1F497D"/>
              </w:rPr>
              <w:t>строго два блока</w:t>
            </w:r>
            <w:r w:rsidRPr="00D91797">
              <w:rPr>
                <w:rFonts w:ascii="Calibri" w:eastAsia="Calibri" w:hAnsi="Calibri" w:cs="Calibri"/>
                <w:color w:val="1F497D"/>
              </w:rPr>
              <w:t xml:space="preserve"> </w:t>
            </w:r>
            <w:r w:rsidRPr="00D91797">
              <w:rPr>
                <w:rFonts w:ascii="Calibri" w:eastAsia="Calibri" w:hAnsi="Calibri" w:cs="Calibri"/>
                <w:color w:val="FF0000"/>
              </w:rPr>
              <w:t>не менее двух</w:t>
            </w:r>
            <w:r w:rsidRPr="00D91797">
              <w:rPr>
                <w:rFonts w:ascii="Calibri" w:eastAsia="Calibri" w:hAnsi="Calibri" w:cs="Calibri"/>
                <w:color w:val="1F497D"/>
              </w:rPr>
              <w:t xml:space="preserve"> </w:t>
            </w:r>
            <w:r w:rsidRPr="00D91797">
              <w:rPr>
                <w:rFonts w:ascii="Calibri" w:eastAsia="Calibri" w:hAnsi="Calibri" w:cs="Calibri"/>
                <w:color w:val="FF0000"/>
              </w:rPr>
              <w:t xml:space="preserve">блоков </w:t>
            </w:r>
            <w:r w:rsidRPr="00D91797">
              <w:rPr>
                <w:rFonts w:ascii="Calibri" w:eastAsia="Calibri" w:hAnsi="Calibri" w:cs="Calibri"/>
                <w:color w:val="1F497D"/>
              </w:rPr>
              <w:t>CorpActnOptnDtls (</w:t>
            </w:r>
            <w:r w:rsidRPr="00D91797">
              <w:rPr>
                <w:rFonts w:ascii="Calibri" w:eastAsia="Calibri" w:hAnsi="Calibri" w:cs="Calibri"/>
                <w:strike/>
                <w:color w:val="1F497D"/>
              </w:rPr>
              <w:t>два варианта</w:t>
            </w:r>
            <w:r w:rsidRPr="00D91797">
              <w:rPr>
                <w:rFonts w:ascii="Calibri" w:eastAsia="Calibri" w:hAnsi="Calibri" w:cs="Calibri"/>
                <w:color w:val="1F497D"/>
              </w:rPr>
              <w:t xml:space="preserve"> </w:t>
            </w:r>
            <w:r w:rsidRPr="00D91797">
              <w:rPr>
                <w:rFonts w:ascii="Calibri" w:eastAsia="Calibri" w:hAnsi="Calibri" w:cs="Calibri"/>
                <w:color w:val="FF0000"/>
              </w:rPr>
              <w:t xml:space="preserve">двух вариантов </w:t>
            </w:r>
            <w:r w:rsidRPr="00D91797">
              <w:rPr>
                <w:rFonts w:ascii="Calibri" w:eastAsia="Calibri" w:hAnsi="Calibri" w:cs="Calibri"/>
                <w:color w:val="1F497D"/>
              </w:rPr>
              <w:t xml:space="preserve">КД). Первый вариант 001 должен иметь признак CASH, флаг обработки по умолчанию false, направление движения денежных средств CRDT, направление движения ценных бумаг DBIT, признак условий варианта (где указана возможность/невозможность подачи требований через Биржу), </w:t>
            </w:r>
            <w:r w:rsidRPr="00D91797">
              <w:rPr>
                <w:rFonts w:ascii="Calibri" w:eastAsia="Calibri" w:hAnsi="Calibri" w:cs="Calibri"/>
                <w:color w:val="FF0000"/>
              </w:rPr>
              <w:t>с обязательным заполнением поля «Выбор валюты»</w:t>
            </w:r>
            <w:r w:rsidRPr="00D91797">
              <w:rPr>
                <w:rFonts w:ascii="Calibri" w:eastAsia="Calibri" w:hAnsi="Calibri" w:cs="Calibri"/>
                <w:color w:val="1F497D"/>
              </w:rPr>
              <w:t>. */CorpActnOptnDtls/CcyOptn.</w:t>
            </w:r>
          </w:p>
          <w:p w14:paraId="15CC7AC7"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color w:val="1F497D"/>
              </w:rPr>
              <w:t>Второй вариант 002 должен иметь признак NOAC и флаг обработки по умолчанию true.</w:t>
            </w:r>
          </w:p>
          <w:p w14:paraId="608ED286" w14:textId="77777777" w:rsidR="00D91797" w:rsidRPr="00D91797" w:rsidRDefault="00D91797" w:rsidP="00D91797">
            <w:pPr>
              <w:rPr>
                <w:rFonts w:ascii="Calibri" w:eastAsia="Calibri" w:hAnsi="Calibri" w:cs="Calibri"/>
                <w:color w:val="FF0000"/>
              </w:rPr>
            </w:pPr>
            <w:r w:rsidRPr="00D91797">
              <w:rPr>
                <w:rFonts w:ascii="Calibri" w:eastAsia="Calibri" w:hAnsi="Calibri" w:cs="Calibri"/>
                <w:color w:val="FF0000"/>
              </w:rPr>
              <w:t>Третий вариант 003 и последующие варианты должны иметь признак CASH, флаг обработки по умолчанию false, направление движения денежных средств CRDT, направление движения ценных бумаг DBIT, признак условий варианта (где указана возможность/невозможность подачи требований через Биржу), с обязательным заполнением поля «Выбор валюты» */CorpActnOptnDtls/CcyOptn.</w:t>
            </w:r>
          </w:p>
          <w:p w14:paraId="622F3B4A" w14:textId="77777777" w:rsidR="00D91797" w:rsidRPr="00D91797" w:rsidRDefault="00D91797" w:rsidP="00D91797">
            <w:pPr>
              <w:rPr>
                <w:rFonts w:ascii="Calibri" w:eastAsia="Calibri" w:hAnsi="Calibri" w:cs="Calibri"/>
                <w:color w:val="FF0000"/>
              </w:rPr>
            </w:pPr>
            <w:r w:rsidRPr="00D91797">
              <w:rPr>
                <w:rFonts w:ascii="Calibri" w:eastAsia="Calibri" w:hAnsi="Calibri" w:cs="Calibri"/>
                <w:color w:val="FF0000"/>
              </w:rPr>
              <w:t>Для вариантов с признаком CASH поля «Выбор валюты» */CorpActnOptnDtls/CcyOptn должны быть заполнены разными кодами валюты.</w:t>
            </w:r>
          </w:p>
          <w:p w14:paraId="49027334" w14:textId="77777777" w:rsidR="00D91797" w:rsidRPr="00D91797" w:rsidRDefault="00D91797" w:rsidP="00D91797">
            <w:pPr>
              <w:rPr>
                <w:rFonts w:ascii="Times New Roman" w:hAnsi="Times New Roman" w:cs="Times New Roman"/>
                <w:b/>
                <w:sz w:val="20"/>
                <w:szCs w:val="20"/>
              </w:rPr>
            </w:pPr>
          </w:p>
        </w:tc>
        <w:tc>
          <w:tcPr>
            <w:tcW w:w="1843" w:type="dxa"/>
          </w:tcPr>
          <w:p w14:paraId="7E0A6C40" w14:textId="77777777" w:rsidR="00D91797" w:rsidRPr="00D91797" w:rsidRDefault="00D91797" w:rsidP="00D91797">
            <w:pPr>
              <w:rPr>
                <w:rFonts w:ascii="Times New Roman" w:hAnsi="Times New Roman" w:cs="Times New Roman"/>
                <w:sz w:val="20"/>
                <w:szCs w:val="20"/>
              </w:rPr>
            </w:pPr>
            <w:r w:rsidRPr="00D91797">
              <w:rPr>
                <w:rFonts w:ascii="Times New Roman" w:hAnsi="Times New Roman" w:cs="Times New Roman"/>
                <w:sz w:val="20"/>
                <w:szCs w:val="20"/>
              </w:rPr>
              <w:lastRenderedPageBreak/>
              <w:t>Новая редакция</w:t>
            </w:r>
          </w:p>
        </w:tc>
      </w:tr>
      <w:tr w:rsidR="00D91797" w:rsidRPr="00D91797" w14:paraId="3A9BFB64" w14:textId="77777777" w:rsidTr="00D91797">
        <w:tc>
          <w:tcPr>
            <w:tcW w:w="425" w:type="dxa"/>
          </w:tcPr>
          <w:p w14:paraId="54DAE03C" w14:textId="77777777" w:rsidR="00D91797" w:rsidRPr="00D91797" w:rsidRDefault="00D91797" w:rsidP="00D91797">
            <w:pPr>
              <w:ind w:left="34"/>
              <w:rPr>
                <w:rFonts w:ascii="Times New Roman" w:hAnsi="Times New Roman" w:cs="Times New Roman"/>
              </w:rPr>
            </w:pPr>
          </w:p>
        </w:tc>
        <w:tc>
          <w:tcPr>
            <w:tcW w:w="2977" w:type="dxa"/>
          </w:tcPr>
          <w:p w14:paraId="08FE1703" w14:textId="46375C40" w:rsidR="00D91797" w:rsidRPr="00D91797" w:rsidRDefault="00D91797" w:rsidP="00D91797">
            <w:pPr>
              <w:ind w:left="34"/>
              <w:rPr>
                <w:rFonts w:ascii="Times New Roman" w:hAnsi="Times New Roman" w:cs="Times New Roman"/>
              </w:rPr>
            </w:pPr>
            <w:r w:rsidRPr="00D91797">
              <w:rPr>
                <w:rFonts w:ascii="Times New Roman" w:hAnsi="Times New Roman" w:cs="Times New Roman"/>
              </w:rPr>
              <w:t>Уведомление о корпоративном действии / CorporateActionNotification (seev.031.001.04)</w:t>
            </w:r>
          </w:p>
        </w:tc>
        <w:tc>
          <w:tcPr>
            <w:tcW w:w="5482" w:type="dxa"/>
          </w:tcPr>
          <w:p w14:paraId="16C57F9F" w14:textId="77777777" w:rsidR="00D91797" w:rsidRPr="00D91797" w:rsidRDefault="00D91797" w:rsidP="00D91797">
            <w:pPr>
              <w:rPr>
                <w:rFonts w:ascii="Times New Roman" w:hAnsi="Times New Roman" w:cs="Times New Roman"/>
                <w:sz w:val="20"/>
                <w:szCs w:val="20"/>
              </w:rPr>
            </w:pPr>
            <w:r w:rsidRPr="00D91797">
              <w:rPr>
                <w:rFonts w:ascii="Times New Roman" w:hAnsi="Times New Roman" w:cs="Times New Roman"/>
                <w:sz w:val="20"/>
                <w:szCs w:val="20"/>
              </w:rPr>
              <w:t>*/CorpActnOptnDtls/CshMvmntDtls/RateAndAmtDtls/IntrstRateUsdForPmt</w:t>
            </w:r>
          </w:p>
        </w:tc>
        <w:tc>
          <w:tcPr>
            <w:tcW w:w="4724" w:type="dxa"/>
          </w:tcPr>
          <w:p w14:paraId="31BDACB6"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b/>
                <w:bCs/>
                <w:color w:val="1F497D"/>
              </w:rPr>
              <w:t>Было</w:t>
            </w:r>
            <w:r w:rsidRPr="00D91797">
              <w:rPr>
                <w:rFonts w:ascii="Calibri" w:eastAsia="Calibri" w:hAnsi="Calibri" w:cs="Calibri"/>
                <w:color w:val="1F497D"/>
              </w:rPr>
              <w:t>:</w:t>
            </w:r>
          </w:p>
          <w:p w14:paraId="54979390"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color w:val="1F497D"/>
              </w:rPr>
              <w:t>Для КД BPUT обязательно указыватеся размер выплачеваемоего купонного дохода в поле CorporateActionNotification/Document/CorpActnNtfctn/CorpActnOptnDtls/CshMvmntDtls/RateAn</w:t>
            </w:r>
            <w:r w:rsidRPr="00D91797">
              <w:rPr>
                <w:rFonts w:ascii="Calibri" w:eastAsia="Calibri" w:hAnsi="Calibri" w:cs="Calibri"/>
                <w:color w:val="1F497D"/>
              </w:rPr>
              <w:lastRenderedPageBreak/>
              <w:t>dAmtDtls/IntrstRateUsdForPmt/Amt  выраженного в денежных средствах или если он неизвестен, то указывается константа "UKWN" в поле */IntrstRateUsdForPmt/NotSpcfdRate.</w:t>
            </w:r>
          </w:p>
          <w:p w14:paraId="5604E629"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b/>
                <w:bCs/>
                <w:color w:val="1F497D"/>
              </w:rPr>
              <w:t>Стало</w:t>
            </w:r>
            <w:r w:rsidRPr="00D91797">
              <w:rPr>
                <w:rFonts w:ascii="Calibri" w:eastAsia="Calibri" w:hAnsi="Calibri" w:cs="Calibri"/>
                <w:color w:val="1F497D"/>
              </w:rPr>
              <w:t>:</w:t>
            </w:r>
          </w:p>
          <w:p w14:paraId="14FE8D7C" w14:textId="77777777" w:rsidR="00D91797" w:rsidRPr="00D91797" w:rsidRDefault="00D91797" w:rsidP="00D91797">
            <w:pPr>
              <w:rPr>
                <w:rFonts w:ascii="Times New Roman" w:hAnsi="Times New Roman" w:cs="Times New Roman"/>
                <w:b/>
                <w:sz w:val="20"/>
                <w:szCs w:val="20"/>
              </w:rPr>
            </w:pPr>
            <w:r w:rsidRPr="00D91797">
              <w:rPr>
                <w:rFonts w:ascii="Calibri" w:eastAsia="Calibri" w:hAnsi="Calibri" w:cs="Calibri"/>
                <w:color w:val="1F497D"/>
              </w:rPr>
              <w:t xml:space="preserve">Для КД BPUT обязательно указывается размер выплачиваемого купонного дохода в поле CorporateActionNotification/Document/CorpActnNtfctn/CorpActnOptnDtls/CshMvmntDtls/RateAndAmtDtls/IntrstRateUsdForPmt/Amt  выраженного в денежных средствах или если он неизвестен, то указывается константа "UKWN" в поле */IntrstRateUsdForPmt/NotSpcfdRate. </w:t>
            </w:r>
            <w:r w:rsidRPr="00D91797">
              <w:rPr>
                <w:rFonts w:ascii="Calibri" w:eastAsia="Calibri" w:hAnsi="Calibri" w:cs="Calibri"/>
                <w:color w:val="FF0000"/>
              </w:rPr>
              <w:t>Если валюта в поле «Выбор валюты» */CorpActnOptnDtls/CcyOptn отлична от валюты, в которой номинирована ценная бумага, и размер выплачиваемого купонного дохода в валюте опции не известен, то указывается константа "UKWN" в поле */IntrstRateUsdForPmt/NotSpcfdRate</w:t>
            </w:r>
          </w:p>
        </w:tc>
        <w:tc>
          <w:tcPr>
            <w:tcW w:w="1843" w:type="dxa"/>
          </w:tcPr>
          <w:p w14:paraId="048698AE" w14:textId="77777777" w:rsidR="00D91797" w:rsidRPr="00D91797" w:rsidRDefault="00D91797" w:rsidP="00D91797">
            <w:pPr>
              <w:rPr>
                <w:rFonts w:ascii="Times New Roman" w:hAnsi="Times New Roman" w:cs="Times New Roman"/>
                <w:sz w:val="20"/>
                <w:szCs w:val="20"/>
              </w:rPr>
            </w:pPr>
            <w:r w:rsidRPr="00D91797">
              <w:rPr>
                <w:rFonts w:ascii="Times New Roman" w:hAnsi="Times New Roman" w:cs="Times New Roman"/>
                <w:sz w:val="20"/>
                <w:szCs w:val="20"/>
              </w:rPr>
              <w:lastRenderedPageBreak/>
              <w:t>Новая редакция</w:t>
            </w:r>
          </w:p>
        </w:tc>
      </w:tr>
      <w:tr w:rsidR="00D91797" w:rsidRPr="00D91797" w14:paraId="6DEBE310" w14:textId="77777777" w:rsidTr="00D91797">
        <w:tc>
          <w:tcPr>
            <w:tcW w:w="425" w:type="dxa"/>
          </w:tcPr>
          <w:p w14:paraId="099C7E58" w14:textId="77777777" w:rsidR="00D91797" w:rsidRPr="00D91797" w:rsidRDefault="00D91797" w:rsidP="00D91797">
            <w:pPr>
              <w:ind w:left="34"/>
              <w:rPr>
                <w:rFonts w:ascii="Times New Roman" w:hAnsi="Times New Roman" w:cs="Times New Roman"/>
              </w:rPr>
            </w:pPr>
          </w:p>
        </w:tc>
        <w:tc>
          <w:tcPr>
            <w:tcW w:w="2977" w:type="dxa"/>
          </w:tcPr>
          <w:p w14:paraId="0D07FD4E" w14:textId="6BD94798" w:rsidR="00D91797" w:rsidRPr="00D91797" w:rsidRDefault="00D91797" w:rsidP="00D91797">
            <w:pPr>
              <w:ind w:left="34"/>
              <w:rPr>
                <w:rFonts w:ascii="Times New Roman" w:hAnsi="Times New Roman" w:cs="Times New Roman"/>
              </w:rPr>
            </w:pPr>
            <w:r w:rsidRPr="00D91797">
              <w:rPr>
                <w:rFonts w:ascii="Times New Roman" w:hAnsi="Times New Roman" w:cs="Times New Roman"/>
              </w:rPr>
              <w:t>Уведомление о корпоративном действии / CorporateActionNotification (seev.031.001.04)</w:t>
            </w:r>
          </w:p>
        </w:tc>
        <w:tc>
          <w:tcPr>
            <w:tcW w:w="5482" w:type="dxa"/>
          </w:tcPr>
          <w:p w14:paraId="068D41E0" w14:textId="77777777" w:rsidR="00D91797" w:rsidRPr="00D91797" w:rsidRDefault="00D91797" w:rsidP="00D91797">
            <w:pPr>
              <w:rPr>
                <w:rFonts w:ascii="Times New Roman" w:hAnsi="Times New Roman" w:cs="Times New Roman"/>
                <w:sz w:val="20"/>
                <w:szCs w:val="20"/>
                <w:lang w:val="en-US"/>
              </w:rPr>
            </w:pPr>
            <w:r w:rsidRPr="00D91797">
              <w:rPr>
                <w:rFonts w:ascii="Times New Roman" w:hAnsi="Times New Roman" w:cs="Times New Roman"/>
                <w:sz w:val="20"/>
                <w:szCs w:val="20"/>
                <w:lang w:val="en-US"/>
              </w:rPr>
              <w:t xml:space="preserve">CorporateActionNotification/Document/CorpActnNtfctn/CorpActnOptnDtls/CshMvmntDtls/PricDtls/GncCshPricRcvdPerPdct/AmtPric/PricVal </w:t>
            </w:r>
          </w:p>
        </w:tc>
        <w:tc>
          <w:tcPr>
            <w:tcW w:w="4724" w:type="dxa"/>
          </w:tcPr>
          <w:p w14:paraId="7424EC1D" w14:textId="77777777" w:rsidR="00D91797" w:rsidRPr="00D91797" w:rsidRDefault="00D91797" w:rsidP="00D91797">
            <w:pPr>
              <w:rPr>
                <w:rFonts w:ascii="Calibri" w:eastAsia="Calibri" w:hAnsi="Calibri" w:cs="Calibri"/>
                <w:color w:val="1F497D"/>
                <w:lang w:val="en-US"/>
              </w:rPr>
            </w:pPr>
            <w:r w:rsidRPr="00D91797">
              <w:rPr>
                <w:rFonts w:ascii="Calibri" w:eastAsia="Calibri" w:hAnsi="Calibri" w:cs="Calibri"/>
                <w:b/>
                <w:bCs/>
                <w:color w:val="1F497D"/>
              </w:rPr>
              <w:t>Было</w:t>
            </w:r>
            <w:r w:rsidRPr="00D91797">
              <w:rPr>
                <w:rFonts w:ascii="Calibri" w:eastAsia="Calibri" w:hAnsi="Calibri" w:cs="Calibri"/>
                <w:color w:val="1F497D"/>
                <w:lang w:val="en-US"/>
              </w:rPr>
              <w:t>:</w:t>
            </w:r>
          </w:p>
          <w:p w14:paraId="47830826"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color w:val="1F497D"/>
              </w:rPr>
              <w:t>Для</w:t>
            </w:r>
            <w:r w:rsidRPr="00D91797">
              <w:rPr>
                <w:rFonts w:ascii="Calibri" w:eastAsia="Calibri" w:hAnsi="Calibri" w:cs="Calibri"/>
                <w:color w:val="1F497D"/>
                <w:lang w:val="en-US"/>
              </w:rPr>
              <w:t xml:space="preserve"> </w:t>
            </w:r>
            <w:r w:rsidRPr="00D91797">
              <w:rPr>
                <w:rFonts w:ascii="Calibri" w:eastAsia="Calibri" w:hAnsi="Calibri" w:cs="Calibri"/>
                <w:color w:val="1F497D"/>
              </w:rPr>
              <w:t>КД</w:t>
            </w:r>
            <w:r w:rsidRPr="00D91797">
              <w:rPr>
                <w:rFonts w:ascii="Calibri" w:eastAsia="Calibri" w:hAnsi="Calibri" w:cs="Calibri"/>
                <w:color w:val="1F497D"/>
                <w:lang w:val="en-US"/>
              </w:rPr>
              <w:t xml:space="preserve"> BPUT </w:t>
            </w:r>
            <w:r w:rsidRPr="00D91797">
              <w:rPr>
                <w:rFonts w:ascii="Calibri" w:eastAsia="Calibri" w:hAnsi="Calibri" w:cs="Calibri"/>
                <w:color w:val="1F497D"/>
              </w:rPr>
              <w:t>по</w:t>
            </w:r>
            <w:r w:rsidRPr="00D91797">
              <w:rPr>
                <w:rFonts w:ascii="Calibri" w:eastAsia="Calibri" w:hAnsi="Calibri" w:cs="Calibri"/>
                <w:color w:val="1F497D"/>
                <w:lang w:val="en-US"/>
              </w:rPr>
              <w:t xml:space="preserve"> </w:t>
            </w:r>
            <w:r w:rsidRPr="00D91797">
              <w:rPr>
                <w:rFonts w:ascii="Calibri" w:eastAsia="Calibri" w:hAnsi="Calibri" w:cs="Calibri"/>
                <w:color w:val="1F497D"/>
              </w:rPr>
              <w:t>российским</w:t>
            </w:r>
            <w:r w:rsidRPr="00D91797">
              <w:rPr>
                <w:rFonts w:ascii="Calibri" w:eastAsia="Calibri" w:hAnsi="Calibri" w:cs="Calibri"/>
                <w:color w:val="1F497D"/>
                <w:lang w:val="en-US"/>
              </w:rPr>
              <w:t xml:space="preserve"> </w:t>
            </w:r>
            <w:r w:rsidRPr="00D91797">
              <w:rPr>
                <w:rFonts w:ascii="Calibri" w:eastAsia="Calibri" w:hAnsi="Calibri" w:cs="Calibri"/>
                <w:color w:val="1F497D"/>
              </w:rPr>
              <w:t>ЦБ</w:t>
            </w:r>
            <w:r w:rsidRPr="00D91797">
              <w:rPr>
                <w:rFonts w:ascii="Calibri" w:eastAsia="Calibri" w:hAnsi="Calibri" w:cs="Calibri"/>
                <w:color w:val="1F497D"/>
                <w:lang w:val="en-US"/>
              </w:rPr>
              <w:t xml:space="preserve"> </w:t>
            </w:r>
            <w:r w:rsidRPr="00D91797">
              <w:rPr>
                <w:rFonts w:ascii="Calibri" w:eastAsia="Calibri" w:hAnsi="Calibri" w:cs="Calibri"/>
                <w:color w:val="1F497D"/>
              </w:rPr>
              <w:t>обязательно</w:t>
            </w:r>
            <w:r w:rsidRPr="00D91797">
              <w:rPr>
                <w:rFonts w:ascii="Calibri" w:eastAsia="Calibri" w:hAnsi="Calibri" w:cs="Calibri"/>
                <w:color w:val="1F497D"/>
                <w:lang w:val="en-US"/>
              </w:rPr>
              <w:t xml:space="preserve"> </w:t>
            </w:r>
            <w:r w:rsidRPr="00D91797">
              <w:rPr>
                <w:rFonts w:ascii="Calibri" w:eastAsia="Calibri" w:hAnsi="Calibri" w:cs="Calibri"/>
                <w:color w:val="1F497D"/>
              </w:rPr>
              <w:t>указывается</w:t>
            </w:r>
            <w:r w:rsidRPr="00D91797">
              <w:rPr>
                <w:rFonts w:ascii="Calibri" w:eastAsia="Calibri" w:hAnsi="Calibri" w:cs="Calibri"/>
                <w:color w:val="1F497D"/>
                <w:lang w:val="en-US"/>
              </w:rPr>
              <w:t xml:space="preserve"> </w:t>
            </w:r>
            <w:r w:rsidRPr="00D91797">
              <w:rPr>
                <w:rFonts w:ascii="Calibri" w:eastAsia="Calibri" w:hAnsi="Calibri" w:cs="Calibri"/>
                <w:color w:val="1F497D"/>
              </w:rPr>
              <w:t>стоимость</w:t>
            </w:r>
            <w:r w:rsidRPr="00D91797">
              <w:rPr>
                <w:rFonts w:ascii="Calibri" w:eastAsia="Calibri" w:hAnsi="Calibri" w:cs="Calibri"/>
                <w:color w:val="1F497D"/>
                <w:lang w:val="en-US"/>
              </w:rPr>
              <w:t xml:space="preserve"> </w:t>
            </w:r>
            <w:r w:rsidRPr="00D91797">
              <w:rPr>
                <w:rFonts w:ascii="Calibri" w:eastAsia="Calibri" w:hAnsi="Calibri" w:cs="Calibri"/>
                <w:color w:val="1F497D"/>
              </w:rPr>
              <w:t>выплачиваемая</w:t>
            </w:r>
            <w:r w:rsidRPr="00D91797">
              <w:rPr>
                <w:rFonts w:ascii="Calibri" w:eastAsia="Calibri" w:hAnsi="Calibri" w:cs="Calibri"/>
                <w:color w:val="1F497D"/>
                <w:lang w:val="en-US"/>
              </w:rPr>
              <w:t xml:space="preserve"> </w:t>
            </w:r>
            <w:r w:rsidRPr="00D91797">
              <w:rPr>
                <w:rFonts w:ascii="Calibri" w:eastAsia="Calibri" w:hAnsi="Calibri" w:cs="Calibri"/>
                <w:color w:val="1F497D"/>
              </w:rPr>
              <w:t>на</w:t>
            </w:r>
            <w:r w:rsidRPr="00D91797">
              <w:rPr>
                <w:rFonts w:ascii="Calibri" w:eastAsia="Calibri" w:hAnsi="Calibri" w:cs="Calibri"/>
                <w:color w:val="1F497D"/>
                <w:lang w:val="en-US"/>
              </w:rPr>
              <w:t xml:space="preserve"> </w:t>
            </w:r>
            <w:r w:rsidRPr="00D91797">
              <w:rPr>
                <w:rFonts w:ascii="Calibri" w:eastAsia="Calibri" w:hAnsi="Calibri" w:cs="Calibri"/>
                <w:color w:val="1F497D"/>
              </w:rPr>
              <w:t>одну</w:t>
            </w:r>
            <w:r w:rsidRPr="00D91797">
              <w:rPr>
                <w:rFonts w:ascii="Calibri" w:eastAsia="Calibri" w:hAnsi="Calibri" w:cs="Calibri"/>
                <w:color w:val="1F497D"/>
                <w:lang w:val="en-US"/>
              </w:rPr>
              <w:t xml:space="preserve"> </w:t>
            </w:r>
            <w:r w:rsidRPr="00D91797">
              <w:rPr>
                <w:rFonts w:ascii="Calibri" w:eastAsia="Calibri" w:hAnsi="Calibri" w:cs="Calibri"/>
                <w:color w:val="1F497D"/>
              </w:rPr>
              <w:t>облигацию</w:t>
            </w:r>
            <w:r w:rsidRPr="00D91797">
              <w:rPr>
                <w:rFonts w:ascii="Calibri" w:eastAsia="Calibri" w:hAnsi="Calibri" w:cs="Calibri"/>
                <w:color w:val="1F497D"/>
                <w:lang w:val="en-US"/>
              </w:rPr>
              <w:t xml:space="preserve"> </w:t>
            </w:r>
            <w:r w:rsidRPr="00D91797">
              <w:rPr>
                <w:rFonts w:ascii="Calibri" w:eastAsia="Calibri" w:hAnsi="Calibri" w:cs="Calibri"/>
                <w:color w:val="1F497D"/>
              </w:rPr>
              <w:t>выраженную</w:t>
            </w:r>
            <w:r w:rsidRPr="00D91797">
              <w:rPr>
                <w:rFonts w:ascii="Calibri" w:eastAsia="Calibri" w:hAnsi="Calibri" w:cs="Calibri"/>
                <w:color w:val="1F497D"/>
                <w:lang w:val="en-US"/>
              </w:rPr>
              <w:t xml:space="preserve"> </w:t>
            </w:r>
            <w:r w:rsidRPr="00D91797">
              <w:rPr>
                <w:rFonts w:ascii="Calibri" w:eastAsia="Calibri" w:hAnsi="Calibri" w:cs="Calibri"/>
                <w:color w:val="1F497D"/>
              </w:rPr>
              <w:t>в</w:t>
            </w:r>
            <w:r w:rsidRPr="00D91797">
              <w:rPr>
                <w:rFonts w:ascii="Calibri" w:eastAsia="Calibri" w:hAnsi="Calibri" w:cs="Calibri"/>
                <w:color w:val="1F497D"/>
                <w:lang w:val="en-US"/>
              </w:rPr>
              <w:t xml:space="preserve"> </w:t>
            </w:r>
            <w:r w:rsidRPr="00D91797">
              <w:rPr>
                <w:rFonts w:ascii="Calibri" w:eastAsia="Calibri" w:hAnsi="Calibri" w:cs="Calibri"/>
                <w:color w:val="1F497D"/>
              </w:rPr>
              <w:t>денежных</w:t>
            </w:r>
            <w:r w:rsidRPr="00D91797">
              <w:rPr>
                <w:rFonts w:ascii="Calibri" w:eastAsia="Calibri" w:hAnsi="Calibri" w:cs="Calibri"/>
                <w:color w:val="1F497D"/>
                <w:lang w:val="en-US"/>
              </w:rPr>
              <w:t xml:space="preserve"> </w:t>
            </w:r>
            <w:r w:rsidRPr="00D91797">
              <w:rPr>
                <w:rFonts w:ascii="Calibri" w:eastAsia="Calibri" w:hAnsi="Calibri" w:cs="Calibri"/>
                <w:color w:val="1F497D"/>
              </w:rPr>
              <w:t>средствах</w:t>
            </w:r>
            <w:r w:rsidRPr="00D91797">
              <w:rPr>
                <w:rFonts w:ascii="Calibri" w:eastAsia="Calibri" w:hAnsi="Calibri" w:cs="Calibri"/>
                <w:color w:val="1F497D"/>
                <w:lang w:val="en-US"/>
              </w:rPr>
              <w:t xml:space="preserve">,  </w:t>
            </w:r>
            <w:r w:rsidRPr="00D91797">
              <w:rPr>
                <w:rFonts w:ascii="Calibri" w:eastAsia="Calibri" w:hAnsi="Calibri" w:cs="Calibri"/>
                <w:color w:val="1F497D"/>
              </w:rPr>
              <w:t>в</w:t>
            </w:r>
            <w:r w:rsidRPr="00D91797">
              <w:rPr>
                <w:rFonts w:ascii="Calibri" w:eastAsia="Calibri" w:hAnsi="Calibri" w:cs="Calibri"/>
                <w:color w:val="1F497D"/>
                <w:lang w:val="en-US"/>
              </w:rPr>
              <w:t xml:space="preserve"> </w:t>
            </w:r>
            <w:r w:rsidRPr="00D91797">
              <w:rPr>
                <w:rFonts w:ascii="Calibri" w:eastAsia="Calibri" w:hAnsi="Calibri" w:cs="Calibri"/>
                <w:color w:val="1F497D"/>
              </w:rPr>
              <w:t>которую</w:t>
            </w:r>
            <w:r w:rsidRPr="00D91797">
              <w:rPr>
                <w:rFonts w:ascii="Calibri" w:eastAsia="Calibri" w:hAnsi="Calibri" w:cs="Calibri"/>
                <w:color w:val="1F497D"/>
                <w:lang w:val="en-US"/>
              </w:rPr>
              <w:t xml:space="preserve"> </w:t>
            </w:r>
            <w:r w:rsidRPr="00D91797">
              <w:rPr>
                <w:rFonts w:ascii="Calibri" w:eastAsia="Calibri" w:hAnsi="Calibri" w:cs="Calibri"/>
                <w:color w:val="1F497D"/>
              </w:rPr>
              <w:t>входит</w:t>
            </w:r>
            <w:r w:rsidRPr="00D91797">
              <w:rPr>
                <w:rFonts w:ascii="Calibri" w:eastAsia="Calibri" w:hAnsi="Calibri" w:cs="Calibri"/>
                <w:color w:val="1F497D"/>
                <w:lang w:val="en-US"/>
              </w:rPr>
              <w:t xml:space="preserve"> </w:t>
            </w:r>
            <w:r w:rsidRPr="00D91797">
              <w:rPr>
                <w:rFonts w:ascii="Calibri" w:eastAsia="Calibri" w:hAnsi="Calibri" w:cs="Calibri"/>
                <w:color w:val="1F497D"/>
              </w:rPr>
              <w:t>остаточный</w:t>
            </w:r>
            <w:r w:rsidRPr="00D91797">
              <w:rPr>
                <w:rFonts w:ascii="Calibri" w:eastAsia="Calibri" w:hAnsi="Calibri" w:cs="Calibri"/>
                <w:color w:val="1F497D"/>
                <w:lang w:val="en-US"/>
              </w:rPr>
              <w:t xml:space="preserve"> </w:t>
            </w:r>
            <w:r w:rsidRPr="00D91797">
              <w:rPr>
                <w:rFonts w:ascii="Calibri" w:eastAsia="Calibri" w:hAnsi="Calibri" w:cs="Calibri"/>
                <w:color w:val="1F497D"/>
              </w:rPr>
              <w:t>номинал</w:t>
            </w:r>
            <w:r w:rsidRPr="00D91797">
              <w:rPr>
                <w:rFonts w:ascii="Calibri" w:eastAsia="Calibri" w:hAnsi="Calibri" w:cs="Calibri"/>
                <w:color w:val="1F497D"/>
                <w:lang w:val="en-US"/>
              </w:rPr>
              <w:t xml:space="preserve"> </w:t>
            </w:r>
            <w:r w:rsidRPr="00D91797">
              <w:rPr>
                <w:rFonts w:ascii="Calibri" w:eastAsia="Calibri" w:hAnsi="Calibri" w:cs="Calibri"/>
                <w:color w:val="1F497D"/>
              </w:rPr>
              <w:t>и</w:t>
            </w:r>
            <w:r w:rsidRPr="00D91797">
              <w:rPr>
                <w:rFonts w:ascii="Calibri" w:eastAsia="Calibri" w:hAnsi="Calibri" w:cs="Calibri"/>
                <w:color w:val="1F497D"/>
                <w:lang w:val="en-US"/>
              </w:rPr>
              <w:t xml:space="preserve"> </w:t>
            </w:r>
            <w:r w:rsidRPr="00D91797">
              <w:rPr>
                <w:rFonts w:ascii="Calibri" w:eastAsia="Calibri" w:hAnsi="Calibri" w:cs="Calibri"/>
                <w:color w:val="1F497D"/>
              </w:rPr>
              <w:t>НКД</w:t>
            </w:r>
            <w:r w:rsidRPr="00D91797">
              <w:rPr>
                <w:rFonts w:ascii="Calibri" w:eastAsia="Calibri" w:hAnsi="Calibri" w:cs="Calibri"/>
                <w:color w:val="1F497D"/>
                <w:lang w:val="en-US"/>
              </w:rPr>
              <w:t xml:space="preserve"> </w:t>
            </w:r>
            <w:r w:rsidRPr="00D91797">
              <w:rPr>
                <w:rFonts w:ascii="Calibri" w:eastAsia="Calibri" w:hAnsi="Calibri" w:cs="Calibri"/>
                <w:color w:val="1F497D"/>
              </w:rPr>
              <w:t>рассчитанный</w:t>
            </w:r>
            <w:r w:rsidRPr="00D91797">
              <w:rPr>
                <w:rFonts w:ascii="Calibri" w:eastAsia="Calibri" w:hAnsi="Calibri" w:cs="Calibri"/>
                <w:color w:val="1F497D"/>
                <w:lang w:val="en-US"/>
              </w:rPr>
              <w:t xml:space="preserve"> </w:t>
            </w:r>
            <w:r w:rsidRPr="00D91797">
              <w:rPr>
                <w:rFonts w:ascii="Calibri" w:eastAsia="Calibri" w:hAnsi="Calibri" w:cs="Calibri"/>
                <w:color w:val="1F497D"/>
              </w:rPr>
              <w:t>на</w:t>
            </w:r>
            <w:r w:rsidRPr="00D91797">
              <w:rPr>
                <w:rFonts w:ascii="Calibri" w:eastAsia="Calibri" w:hAnsi="Calibri" w:cs="Calibri"/>
                <w:color w:val="1F497D"/>
                <w:lang w:val="en-US"/>
              </w:rPr>
              <w:t xml:space="preserve"> </w:t>
            </w:r>
            <w:r w:rsidRPr="00D91797">
              <w:rPr>
                <w:rFonts w:ascii="Calibri" w:eastAsia="Calibri" w:hAnsi="Calibri" w:cs="Calibri"/>
                <w:color w:val="1F497D"/>
              </w:rPr>
              <w:t>дату</w:t>
            </w:r>
            <w:r w:rsidRPr="00D91797">
              <w:rPr>
                <w:rFonts w:ascii="Calibri" w:eastAsia="Calibri" w:hAnsi="Calibri" w:cs="Calibri"/>
                <w:color w:val="1F497D"/>
                <w:lang w:val="en-US"/>
              </w:rPr>
              <w:t xml:space="preserve"> </w:t>
            </w:r>
            <w:r w:rsidRPr="00D91797">
              <w:rPr>
                <w:rFonts w:ascii="Calibri" w:eastAsia="Calibri" w:hAnsi="Calibri" w:cs="Calibri"/>
                <w:color w:val="1F497D"/>
              </w:rPr>
              <w:t>выплаты</w:t>
            </w:r>
            <w:r w:rsidRPr="00D91797">
              <w:rPr>
                <w:rFonts w:ascii="Calibri" w:eastAsia="Calibri" w:hAnsi="Calibri" w:cs="Calibri"/>
                <w:color w:val="1F497D"/>
                <w:lang w:val="en-US"/>
              </w:rPr>
              <w:t xml:space="preserve"> </w:t>
            </w:r>
            <w:r w:rsidRPr="00D91797">
              <w:rPr>
                <w:rFonts w:ascii="Calibri" w:eastAsia="Calibri" w:hAnsi="Calibri" w:cs="Calibri"/>
                <w:color w:val="1F497D"/>
              </w:rPr>
              <w:t>в</w:t>
            </w:r>
            <w:r w:rsidRPr="00D91797">
              <w:rPr>
                <w:rFonts w:ascii="Calibri" w:eastAsia="Calibri" w:hAnsi="Calibri" w:cs="Calibri"/>
                <w:color w:val="1F497D"/>
                <w:lang w:val="en-US"/>
              </w:rPr>
              <w:t xml:space="preserve"> </w:t>
            </w:r>
            <w:r w:rsidRPr="00D91797">
              <w:rPr>
                <w:rFonts w:ascii="Calibri" w:eastAsia="Calibri" w:hAnsi="Calibri" w:cs="Calibri"/>
                <w:color w:val="1F497D"/>
              </w:rPr>
              <w:t>поле</w:t>
            </w:r>
            <w:r w:rsidRPr="00D91797">
              <w:rPr>
                <w:rFonts w:ascii="Calibri" w:eastAsia="Calibri" w:hAnsi="Calibri" w:cs="Calibri"/>
                <w:color w:val="1F497D"/>
                <w:lang w:val="en-US"/>
              </w:rPr>
              <w:t xml:space="preserve"> CorporateActionNotification/Document/CorpActnNtfctn/CorpActnOptnDtls/CshMvmntDtls/PricDtls/GncCshPricRcvdPerPdct/AmtPric/PricVal </w:t>
            </w:r>
            <w:r w:rsidRPr="00D91797">
              <w:rPr>
                <w:rFonts w:ascii="Calibri" w:eastAsia="Calibri" w:hAnsi="Calibri" w:cs="Calibri"/>
                <w:color w:val="1F497D"/>
              </w:rPr>
              <w:t>с</w:t>
            </w:r>
            <w:r w:rsidRPr="00D91797">
              <w:rPr>
                <w:rFonts w:ascii="Calibri" w:eastAsia="Calibri" w:hAnsi="Calibri" w:cs="Calibri"/>
                <w:color w:val="1F497D"/>
                <w:lang w:val="en-US"/>
              </w:rPr>
              <w:t xml:space="preserve"> </w:t>
            </w:r>
            <w:r w:rsidRPr="00D91797">
              <w:rPr>
                <w:rFonts w:ascii="Calibri" w:eastAsia="Calibri" w:hAnsi="Calibri" w:cs="Calibri"/>
                <w:color w:val="1F497D"/>
              </w:rPr>
              <w:t>указание</w:t>
            </w:r>
            <w:r w:rsidRPr="00D91797">
              <w:rPr>
                <w:rFonts w:ascii="Calibri" w:eastAsia="Calibri" w:hAnsi="Calibri" w:cs="Calibri"/>
                <w:color w:val="1F497D"/>
                <w:lang w:val="en-US"/>
              </w:rPr>
              <w:t xml:space="preserve"> </w:t>
            </w:r>
            <w:r w:rsidRPr="00D91797">
              <w:rPr>
                <w:rFonts w:ascii="Calibri" w:eastAsia="Calibri" w:hAnsi="Calibri" w:cs="Calibri"/>
                <w:color w:val="1F497D"/>
              </w:rPr>
              <w:t>кода</w:t>
            </w:r>
            <w:r w:rsidRPr="00D91797">
              <w:rPr>
                <w:rFonts w:ascii="Calibri" w:eastAsia="Calibri" w:hAnsi="Calibri" w:cs="Calibri"/>
                <w:color w:val="1F497D"/>
                <w:lang w:val="en-US"/>
              </w:rPr>
              <w:t xml:space="preserve"> </w:t>
            </w:r>
            <w:r w:rsidRPr="00D91797">
              <w:rPr>
                <w:rFonts w:ascii="Calibri" w:eastAsia="Calibri" w:hAnsi="Calibri" w:cs="Calibri"/>
                <w:color w:val="1F497D"/>
              </w:rPr>
              <w:t>типы</w:t>
            </w:r>
            <w:r w:rsidRPr="00D91797">
              <w:rPr>
                <w:rFonts w:ascii="Calibri" w:eastAsia="Calibri" w:hAnsi="Calibri" w:cs="Calibri"/>
                <w:color w:val="1F497D"/>
                <w:lang w:val="en-US"/>
              </w:rPr>
              <w:t xml:space="preserve"> </w:t>
            </w:r>
            <w:r w:rsidRPr="00D91797">
              <w:rPr>
                <w:rFonts w:ascii="Calibri" w:eastAsia="Calibri" w:hAnsi="Calibri" w:cs="Calibri"/>
                <w:color w:val="1F497D"/>
              </w:rPr>
              <w:t>суммы</w:t>
            </w:r>
            <w:r w:rsidRPr="00D91797">
              <w:rPr>
                <w:rFonts w:ascii="Calibri" w:eastAsia="Calibri" w:hAnsi="Calibri" w:cs="Calibri"/>
                <w:color w:val="1F497D"/>
                <w:lang w:val="en-US"/>
              </w:rPr>
              <w:t xml:space="preserve"> "</w:t>
            </w:r>
            <w:r w:rsidRPr="00D91797">
              <w:rPr>
                <w:rFonts w:ascii="Calibri" w:eastAsia="Calibri" w:hAnsi="Calibri" w:cs="Calibri"/>
                <w:color w:val="1F497D"/>
              </w:rPr>
              <w:t>Фактическая</w:t>
            </w:r>
            <w:r w:rsidRPr="00D91797">
              <w:rPr>
                <w:rFonts w:ascii="Calibri" w:eastAsia="Calibri" w:hAnsi="Calibri" w:cs="Calibri"/>
                <w:color w:val="1F497D"/>
                <w:lang w:val="en-US"/>
              </w:rPr>
              <w:t xml:space="preserve"> </w:t>
            </w:r>
            <w:r w:rsidRPr="00D91797">
              <w:rPr>
                <w:rFonts w:ascii="Calibri" w:eastAsia="Calibri" w:hAnsi="Calibri" w:cs="Calibri"/>
                <w:color w:val="1F497D"/>
              </w:rPr>
              <w:t>сумма</w:t>
            </w:r>
            <w:r w:rsidRPr="00D91797">
              <w:rPr>
                <w:rFonts w:ascii="Calibri" w:eastAsia="Calibri" w:hAnsi="Calibri" w:cs="Calibri"/>
                <w:color w:val="1F497D"/>
                <w:lang w:val="en-US"/>
              </w:rPr>
              <w:t xml:space="preserve">" (*/AmtPricTp=ACTU). </w:t>
            </w:r>
            <w:r w:rsidRPr="00D91797">
              <w:rPr>
                <w:rFonts w:ascii="Calibri" w:eastAsia="Calibri" w:hAnsi="Calibri" w:cs="Calibri"/>
                <w:color w:val="1F497D"/>
              </w:rPr>
              <w:t>В случае если дата выплаты неизвестна и рассчитать НКД не возможно, то указывается цена с кодом UKWN в поле */GncCshPricRcvdPerPdct/NotSpcfdPric</w:t>
            </w:r>
          </w:p>
          <w:p w14:paraId="08DC7E23"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b/>
                <w:bCs/>
                <w:color w:val="1F497D"/>
              </w:rPr>
              <w:t>Стало</w:t>
            </w:r>
            <w:r w:rsidRPr="00D91797">
              <w:rPr>
                <w:rFonts w:ascii="Calibri" w:eastAsia="Calibri" w:hAnsi="Calibri" w:cs="Calibri"/>
                <w:color w:val="1F497D"/>
              </w:rPr>
              <w:t>:</w:t>
            </w:r>
          </w:p>
          <w:p w14:paraId="0DDFC083" w14:textId="77777777" w:rsidR="00D91797" w:rsidRPr="00D91797" w:rsidRDefault="00D91797" w:rsidP="00D91797">
            <w:pPr>
              <w:rPr>
                <w:rFonts w:ascii="Calibri" w:eastAsia="Calibri" w:hAnsi="Calibri" w:cs="Calibri"/>
                <w:color w:val="1F497D"/>
              </w:rPr>
            </w:pPr>
            <w:r w:rsidRPr="00D91797">
              <w:rPr>
                <w:rFonts w:ascii="Calibri" w:eastAsia="Calibri" w:hAnsi="Calibri" w:cs="Calibri"/>
                <w:color w:val="1F497D"/>
              </w:rPr>
              <w:lastRenderedPageBreak/>
              <w:t xml:space="preserve">Для КД BPUT по российским ЦБ обязательно указывается стоимость выплачиваемая на одну облигацию выраженную в денежных средствах,  в которую входит остаточный номинал и НКД рассчитанный на дату выплаты в поле CorporateActionNotification/Document/CorpActnNtfctn/CorpActnOptnDtls/CshMvmntDtls/PricDtls/GncCshPricRcvdPerPdct/AmtPric/PricVal с указание кода типы суммы "Фактическая сумма" (*/AmtPricTp=ACTU). В случае если дата выплаты неизвестна </w:t>
            </w:r>
            <w:r w:rsidRPr="00D91797">
              <w:rPr>
                <w:rFonts w:ascii="Calibri" w:eastAsia="Calibri" w:hAnsi="Calibri" w:cs="Calibri"/>
                <w:color w:val="FF0000"/>
              </w:rPr>
              <w:t xml:space="preserve">или </w:t>
            </w:r>
            <w:r w:rsidRPr="00D91797">
              <w:rPr>
                <w:rFonts w:ascii="Calibri" w:eastAsia="Calibri" w:hAnsi="Calibri" w:cs="Calibri"/>
                <w:color w:val="1F497D"/>
              </w:rPr>
              <w:t xml:space="preserve">рассчитать НКД не возможно </w:t>
            </w:r>
            <w:r w:rsidRPr="00D91797">
              <w:rPr>
                <w:rFonts w:ascii="Calibri" w:eastAsia="Calibri" w:hAnsi="Calibri" w:cs="Calibri"/>
                <w:color w:val="FF0000"/>
              </w:rPr>
              <w:t>(например, не известен курс конвертации валют)</w:t>
            </w:r>
            <w:r w:rsidRPr="00D91797">
              <w:rPr>
                <w:rFonts w:ascii="Calibri" w:eastAsia="Calibri" w:hAnsi="Calibri" w:cs="Calibri"/>
                <w:color w:val="1F497D"/>
              </w:rPr>
              <w:t>, то указывается цена с кодом UKWN в поле */GncCshPricRcvdPerPdct/NotSpcfdPric</w:t>
            </w:r>
          </w:p>
          <w:p w14:paraId="5BE9131E" w14:textId="77777777" w:rsidR="00D91797" w:rsidRPr="00D91797" w:rsidRDefault="00D91797" w:rsidP="00D91797">
            <w:pPr>
              <w:rPr>
                <w:rFonts w:ascii="Times New Roman" w:hAnsi="Times New Roman" w:cs="Times New Roman"/>
                <w:b/>
                <w:sz w:val="20"/>
                <w:szCs w:val="20"/>
              </w:rPr>
            </w:pPr>
          </w:p>
        </w:tc>
        <w:tc>
          <w:tcPr>
            <w:tcW w:w="1843" w:type="dxa"/>
          </w:tcPr>
          <w:p w14:paraId="178F4236" w14:textId="77777777" w:rsidR="00D91797" w:rsidRPr="00D91797" w:rsidRDefault="00D91797" w:rsidP="00D91797">
            <w:pPr>
              <w:rPr>
                <w:rFonts w:ascii="Times New Roman" w:hAnsi="Times New Roman" w:cs="Times New Roman"/>
                <w:sz w:val="20"/>
                <w:szCs w:val="20"/>
              </w:rPr>
            </w:pPr>
            <w:r w:rsidRPr="00D91797">
              <w:rPr>
                <w:rFonts w:ascii="Times New Roman" w:hAnsi="Times New Roman" w:cs="Times New Roman"/>
                <w:sz w:val="20"/>
                <w:szCs w:val="20"/>
              </w:rPr>
              <w:lastRenderedPageBreak/>
              <w:t>Новая редакция</w:t>
            </w:r>
          </w:p>
        </w:tc>
      </w:tr>
    </w:tbl>
    <w:p w14:paraId="08CB772D" w14:textId="277B5608" w:rsidR="002868D5" w:rsidRPr="00C55792" w:rsidRDefault="002868D5" w:rsidP="00496382">
      <w:pPr>
        <w:spacing w:after="0"/>
        <w:rPr>
          <w:rFonts w:ascii="Times New Roman" w:hAnsi="Times New Roman" w:cs="Times New Roman"/>
          <w:sz w:val="20"/>
          <w:szCs w:val="20"/>
        </w:rPr>
      </w:pPr>
    </w:p>
    <w:sectPr w:rsidR="002868D5" w:rsidRPr="00C55792" w:rsidSect="00D81B60">
      <w:footerReference w:type="default" r:id="rId11"/>
      <w:pgSz w:w="16838" w:h="11906" w:orient="landscape"/>
      <w:pgMar w:top="567" w:right="567" w:bottom="28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1DCD5" w14:textId="77777777" w:rsidR="005D6D80" w:rsidRDefault="005D6D80" w:rsidP="0087403A">
      <w:pPr>
        <w:spacing w:after="0" w:line="240" w:lineRule="auto"/>
      </w:pPr>
      <w:r>
        <w:separator/>
      </w:r>
    </w:p>
  </w:endnote>
  <w:endnote w:type="continuationSeparator" w:id="0">
    <w:p w14:paraId="2FD2D9FB" w14:textId="77777777" w:rsidR="005D6D80" w:rsidRDefault="005D6D80" w:rsidP="00874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437309"/>
      <w:docPartObj>
        <w:docPartGallery w:val="Page Numbers (Bottom of Page)"/>
        <w:docPartUnique/>
      </w:docPartObj>
    </w:sdtPr>
    <w:sdtEndPr/>
    <w:sdtContent>
      <w:p w14:paraId="5BEE4BB4" w14:textId="4A5BF600" w:rsidR="007729A7" w:rsidRDefault="007729A7">
        <w:pPr>
          <w:pStyle w:val="af0"/>
          <w:jc w:val="right"/>
        </w:pPr>
        <w:r>
          <w:fldChar w:fldCharType="begin"/>
        </w:r>
        <w:r>
          <w:instrText>PAGE   \* MERGEFORMAT</w:instrText>
        </w:r>
        <w:r>
          <w:fldChar w:fldCharType="separate"/>
        </w:r>
        <w:r w:rsidR="00D91797">
          <w:rPr>
            <w:noProof/>
          </w:rPr>
          <w:t>1</w:t>
        </w:r>
        <w:r>
          <w:fldChar w:fldCharType="end"/>
        </w:r>
      </w:p>
    </w:sdtContent>
  </w:sdt>
  <w:p w14:paraId="3E8E7963" w14:textId="77777777" w:rsidR="007729A7" w:rsidRDefault="007729A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F7F5F" w14:textId="77777777" w:rsidR="005D6D80" w:rsidRDefault="005D6D80" w:rsidP="0087403A">
      <w:pPr>
        <w:spacing w:after="0" w:line="240" w:lineRule="auto"/>
      </w:pPr>
      <w:r>
        <w:separator/>
      </w:r>
    </w:p>
  </w:footnote>
  <w:footnote w:type="continuationSeparator" w:id="0">
    <w:p w14:paraId="79BE9366" w14:textId="77777777" w:rsidR="005D6D80" w:rsidRDefault="005D6D80" w:rsidP="008740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4729"/>
    <w:multiLevelType w:val="multilevel"/>
    <w:tmpl w:val="7522FA08"/>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471" w:hanging="108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1831" w:hanging="1440"/>
      </w:pPr>
      <w:rPr>
        <w:rFonts w:hint="default"/>
      </w:rPr>
    </w:lvl>
  </w:abstractNum>
  <w:abstractNum w:abstractNumId="1" w15:restartNumberingAfterBreak="0">
    <w:nsid w:val="04C76C4E"/>
    <w:multiLevelType w:val="hybridMultilevel"/>
    <w:tmpl w:val="719A99EC"/>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15:restartNumberingAfterBreak="0">
    <w:nsid w:val="0F0E2E1C"/>
    <w:multiLevelType w:val="hybridMultilevel"/>
    <w:tmpl w:val="77845F44"/>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3" w15:restartNumberingAfterBreak="0">
    <w:nsid w:val="0FA449D2"/>
    <w:multiLevelType w:val="hybridMultilevel"/>
    <w:tmpl w:val="635AF086"/>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18467A8B"/>
    <w:multiLevelType w:val="hybridMultilevel"/>
    <w:tmpl w:val="146492F0"/>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5" w15:restartNumberingAfterBreak="0">
    <w:nsid w:val="1C4D7384"/>
    <w:multiLevelType w:val="hybridMultilevel"/>
    <w:tmpl w:val="CF86D900"/>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6" w15:restartNumberingAfterBreak="0">
    <w:nsid w:val="2BB73AF3"/>
    <w:multiLevelType w:val="hybridMultilevel"/>
    <w:tmpl w:val="7818D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4A5FA0"/>
    <w:multiLevelType w:val="hybridMultilevel"/>
    <w:tmpl w:val="9580DADC"/>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8" w15:restartNumberingAfterBreak="0">
    <w:nsid w:val="3A3C3E2C"/>
    <w:multiLevelType w:val="hybridMultilevel"/>
    <w:tmpl w:val="A444764C"/>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9" w15:restartNumberingAfterBreak="0">
    <w:nsid w:val="3C7179C7"/>
    <w:multiLevelType w:val="hybridMultilevel"/>
    <w:tmpl w:val="1BAC0FE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3D885164"/>
    <w:multiLevelType w:val="hybridMultilevel"/>
    <w:tmpl w:val="64B01744"/>
    <w:lvl w:ilvl="0" w:tplc="B5D8BA2C">
      <w:start w:val="1"/>
      <w:numFmt w:val="decimal"/>
      <w:pStyle w:val="a"/>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11" w15:restartNumberingAfterBreak="0">
    <w:nsid w:val="4A5E44C3"/>
    <w:multiLevelType w:val="hybridMultilevel"/>
    <w:tmpl w:val="77845F44"/>
    <w:lvl w:ilvl="0" w:tplc="0419000F">
      <w:start w:val="1"/>
      <w:numFmt w:val="decimal"/>
      <w:lvlText w:val="%1."/>
      <w:lvlJc w:val="left"/>
      <w:pPr>
        <w:ind w:left="751" w:hanging="360"/>
      </w:p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12" w15:restartNumberingAfterBreak="0">
    <w:nsid w:val="658150B9"/>
    <w:multiLevelType w:val="multilevel"/>
    <w:tmpl w:val="7522FA08"/>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471" w:hanging="108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1831" w:hanging="1440"/>
      </w:pPr>
      <w:rPr>
        <w:rFonts w:hint="default"/>
      </w:rPr>
    </w:lvl>
  </w:abstractNum>
  <w:num w:numId="1">
    <w:abstractNumId w:val="0"/>
  </w:num>
  <w:num w:numId="2">
    <w:abstractNumId w:val="10"/>
  </w:num>
  <w:num w:numId="3">
    <w:abstractNumId w:val="6"/>
  </w:num>
  <w:num w:numId="4">
    <w:abstractNumId w:val="11"/>
  </w:num>
  <w:num w:numId="5">
    <w:abstractNumId w:val="1"/>
  </w:num>
  <w:num w:numId="6">
    <w:abstractNumId w:val="4"/>
  </w:num>
  <w:num w:numId="7">
    <w:abstractNumId w:val="7"/>
  </w:num>
  <w:num w:numId="8">
    <w:abstractNumId w:val="8"/>
  </w:num>
  <w:num w:numId="9">
    <w:abstractNumId w:val="12"/>
  </w:num>
  <w:num w:numId="10">
    <w:abstractNumId w:val="2"/>
  </w:num>
  <w:num w:numId="11">
    <w:abstractNumId w:val="5"/>
  </w:num>
  <w:num w:numId="12">
    <w:abstractNumId w:val="9"/>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03A"/>
    <w:rsid w:val="00005F51"/>
    <w:rsid w:val="00007C95"/>
    <w:rsid w:val="0001224D"/>
    <w:rsid w:val="00017DA7"/>
    <w:rsid w:val="000243BA"/>
    <w:rsid w:val="000314CE"/>
    <w:rsid w:val="00031DAB"/>
    <w:rsid w:val="00041980"/>
    <w:rsid w:val="00042CBB"/>
    <w:rsid w:val="00046A06"/>
    <w:rsid w:val="00052414"/>
    <w:rsid w:val="00052B93"/>
    <w:rsid w:val="0006236E"/>
    <w:rsid w:val="0006390E"/>
    <w:rsid w:val="00065CB3"/>
    <w:rsid w:val="000673C7"/>
    <w:rsid w:val="000723DA"/>
    <w:rsid w:val="00073723"/>
    <w:rsid w:val="00085B3E"/>
    <w:rsid w:val="00085C53"/>
    <w:rsid w:val="00086627"/>
    <w:rsid w:val="00087544"/>
    <w:rsid w:val="0008761F"/>
    <w:rsid w:val="00094BBF"/>
    <w:rsid w:val="00097F35"/>
    <w:rsid w:val="000A1C11"/>
    <w:rsid w:val="000A57B2"/>
    <w:rsid w:val="000B41A8"/>
    <w:rsid w:val="000B6F4D"/>
    <w:rsid w:val="000C0A0D"/>
    <w:rsid w:val="000D11EF"/>
    <w:rsid w:val="000D2563"/>
    <w:rsid w:val="000D5B43"/>
    <w:rsid w:val="000E2CA3"/>
    <w:rsid w:val="000E7CDB"/>
    <w:rsid w:val="000F0D57"/>
    <w:rsid w:val="000F10BE"/>
    <w:rsid w:val="000F4241"/>
    <w:rsid w:val="000F472D"/>
    <w:rsid w:val="000F703E"/>
    <w:rsid w:val="000F7423"/>
    <w:rsid w:val="00111BA0"/>
    <w:rsid w:val="00112FDF"/>
    <w:rsid w:val="00115C2C"/>
    <w:rsid w:val="00116A2C"/>
    <w:rsid w:val="00116AB1"/>
    <w:rsid w:val="001316DB"/>
    <w:rsid w:val="00134313"/>
    <w:rsid w:val="0014721F"/>
    <w:rsid w:val="001566DD"/>
    <w:rsid w:val="00160DE9"/>
    <w:rsid w:val="00163C3D"/>
    <w:rsid w:val="00171068"/>
    <w:rsid w:val="00174AA7"/>
    <w:rsid w:val="001825D3"/>
    <w:rsid w:val="001856FE"/>
    <w:rsid w:val="001B0D53"/>
    <w:rsid w:val="001B3A3D"/>
    <w:rsid w:val="001C16C5"/>
    <w:rsid w:val="001C1DFA"/>
    <w:rsid w:val="001C2E0F"/>
    <w:rsid w:val="001C5B0D"/>
    <w:rsid w:val="001C7AF6"/>
    <w:rsid w:val="001D20D9"/>
    <w:rsid w:val="001D370E"/>
    <w:rsid w:val="001E15BE"/>
    <w:rsid w:val="001E5955"/>
    <w:rsid w:val="001E5DD1"/>
    <w:rsid w:val="001F128F"/>
    <w:rsid w:val="001F1CD4"/>
    <w:rsid w:val="001F7CB0"/>
    <w:rsid w:val="002011E5"/>
    <w:rsid w:val="00204C01"/>
    <w:rsid w:val="00220B77"/>
    <w:rsid w:val="00220FA0"/>
    <w:rsid w:val="00221F80"/>
    <w:rsid w:val="00223D63"/>
    <w:rsid w:val="00233B8D"/>
    <w:rsid w:val="00243C99"/>
    <w:rsid w:val="00244EA2"/>
    <w:rsid w:val="00252D88"/>
    <w:rsid w:val="002532C9"/>
    <w:rsid w:val="00255DA5"/>
    <w:rsid w:val="00256E9B"/>
    <w:rsid w:val="002610D3"/>
    <w:rsid w:val="0026160B"/>
    <w:rsid w:val="00263791"/>
    <w:rsid w:val="00265C88"/>
    <w:rsid w:val="00276480"/>
    <w:rsid w:val="002800E3"/>
    <w:rsid w:val="00280158"/>
    <w:rsid w:val="002868D5"/>
    <w:rsid w:val="00286F4B"/>
    <w:rsid w:val="002952F6"/>
    <w:rsid w:val="002A0FE9"/>
    <w:rsid w:val="002A74F0"/>
    <w:rsid w:val="002B03B6"/>
    <w:rsid w:val="002C3E0A"/>
    <w:rsid w:val="002D2032"/>
    <w:rsid w:val="002E00F3"/>
    <w:rsid w:val="002E1EE4"/>
    <w:rsid w:val="002E2C4E"/>
    <w:rsid w:val="002F2246"/>
    <w:rsid w:val="002F619B"/>
    <w:rsid w:val="00304B2D"/>
    <w:rsid w:val="00311ECC"/>
    <w:rsid w:val="00312DA3"/>
    <w:rsid w:val="00314458"/>
    <w:rsid w:val="003169B3"/>
    <w:rsid w:val="0032013E"/>
    <w:rsid w:val="0032178E"/>
    <w:rsid w:val="003225BD"/>
    <w:rsid w:val="00322948"/>
    <w:rsid w:val="0032521C"/>
    <w:rsid w:val="00327FA5"/>
    <w:rsid w:val="003311A9"/>
    <w:rsid w:val="00331DAF"/>
    <w:rsid w:val="00343D14"/>
    <w:rsid w:val="00345056"/>
    <w:rsid w:val="003453C5"/>
    <w:rsid w:val="00351088"/>
    <w:rsid w:val="00353771"/>
    <w:rsid w:val="003565BB"/>
    <w:rsid w:val="0036691E"/>
    <w:rsid w:val="00371ED6"/>
    <w:rsid w:val="00372C62"/>
    <w:rsid w:val="00375F52"/>
    <w:rsid w:val="0038184E"/>
    <w:rsid w:val="00385DDC"/>
    <w:rsid w:val="00386FC1"/>
    <w:rsid w:val="0039586C"/>
    <w:rsid w:val="00395CD2"/>
    <w:rsid w:val="003974B5"/>
    <w:rsid w:val="003A1B70"/>
    <w:rsid w:val="003A38B2"/>
    <w:rsid w:val="003A4EF3"/>
    <w:rsid w:val="003A5FFB"/>
    <w:rsid w:val="003B625C"/>
    <w:rsid w:val="003C5AEC"/>
    <w:rsid w:val="003C779C"/>
    <w:rsid w:val="003F55CD"/>
    <w:rsid w:val="003F5673"/>
    <w:rsid w:val="00402C4A"/>
    <w:rsid w:val="00403534"/>
    <w:rsid w:val="00412FDF"/>
    <w:rsid w:val="004140A2"/>
    <w:rsid w:val="00421C84"/>
    <w:rsid w:val="0042592B"/>
    <w:rsid w:val="00432541"/>
    <w:rsid w:val="004339F0"/>
    <w:rsid w:val="0044470E"/>
    <w:rsid w:val="00450716"/>
    <w:rsid w:val="004623A1"/>
    <w:rsid w:val="00464372"/>
    <w:rsid w:val="004701CF"/>
    <w:rsid w:val="00480397"/>
    <w:rsid w:val="00481C05"/>
    <w:rsid w:val="004837FC"/>
    <w:rsid w:val="00490261"/>
    <w:rsid w:val="00490D14"/>
    <w:rsid w:val="0049234F"/>
    <w:rsid w:val="00492CEE"/>
    <w:rsid w:val="00495BF9"/>
    <w:rsid w:val="00496382"/>
    <w:rsid w:val="004A0F9A"/>
    <w:rsid w:val="004B1828"/>
    <w:rsid w:val="004B2A88"/>
    <w:rsid w:val="004B4ECB"/>
    <w:rsid w:val="004B6FF0"/>
    <w:rsid w:val="004B7BAC"/>
    <w:rsid w:val="004C1526"/>
    <w:rsid w:val="004C25F7"/>
    <w:rsid w:val="004C306B"/>
    <w:rsid w:val="004C3DA5"/>
    <w:rsid w:val="004C6980"/>
    <w:rsid w:val="004D389F"/>
    <w:rsid w:val="004D484F"/>
    <w:rsid w:val="004D62CE"/>
    <w:rsid w:val="004D6F59"/>
    <w:rsid w:val="004E22D5"/>
    <w:rsid w:val="004E23AC"/>
    <w:rsid w:val="004E3922"/>
    <w:rsid w:val="004E66B1"/>
    <w:rsid w:val="004F0FD4"/>
    <w:rsid w:val="004F6CE8"/>
    <w:rsid w:val="00510305"/>
    <w:rsid w:val="005169AE"/>
    <w:rsid w:val="005238D8"/>
    <w:rsid w:val="00524DCC"/>
    <w:rsid w:val="005461B8"/>
    <w:rsid w:val="00547336"/>
    <w:rsid w:val="00547D9E"/>
    <w:rsid w:val="0058001D"/>
    <w:rsid w:val="00583C6E"/>
    <w:rsid w:val="0058468F"/>
    <w:rsid w:val="0059059A"/>
    <w:rsid w:val="00593BCF"/>
    <w:rsid w:val="005A0854"/>
    <w:rsid w:val="005A2533"/>
    <w:rsid w:val="005B1F03"/>
    <w:rsid w:val="005B6F80"/>
    <w:rsid w:val="005B7C24"/>
    <w:rsid w:val="005C2709"/>
    <w:rsid w:val="005C7061"/>
    <w:rsid w:val="005C73DA"/>
    <w:rsid w:val="005D6D80"/>
    <w:rsid w:val="005D6F47"/>
    <w:rsid w:val="005D71F7"/>
    <w:rsid w:val="005E0729"/>
    <w:rsid w:val="005E3ACB"/>
    <w:rsid w:val="005E72D7"/>
    <w:rsid w:val="005F768A"/>
    <w:rsid w:val="005F7B63"/>
    <w:rsid w:val="0060068A"/>
    <w:rsid w:val="00604847"/>
    <w:rsid w:val="00613472"/>
    <w:rsid w:val="00621E28"/>
    <w:rsid w:val="00623913"/>
    <w:rsid w:val="00625670"/>
    <w:rsid w:val="00642FBC"/>
    <w:rsid w:val="00644A97"/>
    <w:rsid w:val="0064590D"/>
    <w:rsid w:val="006459BA"/>
    <w:rsid w:val="00662EB6"/>
    <w:rsid w:val="0066569E"/>
    <w:rsid w:val="00674C34"/>
    <w:rsid w:val="006801A1"/>
    <w:rsid w:val="006871B0"/>
    <w:rsid w:val="0068729F"/>
    <w:rsid w:val="00690239"/>
    <w:rsid w:val="0069758F"/>
    <w:rsid w:val="006A6940"/>
    <w:rsid w:val="006B4E62"/>
    <w:rsid w:val="006D2AAA"/>
    <w:rsid w:val="006D69D2"/>
    <w:rsid w:val="006D7015"/>
    <w:rsid w:val="006D7034"/>
    <w:rsid w:val="006E135E"/>
    <w:rsid w:val="006E5028"/>
    <w:rsid w:val="006E7899"/>
    <w:rsid w:val="006E7B0D"/>
    <w:rsid w:val="006F3D1E"/>
    <w:rsid w:val="006F56F2"/>
    <w:rsid w:val="006F6BE5"/>
    <w:rsid w:val="00700EF5"/>
    <w:rsid w:val="0070473C"/>
    <w:rsid w:val="00706509"/>
    <w:rsid w:val="00706DEF"/>
    <w:rsid w:val="00714A39"/>
    <w:rsid w:val="00714FEC"/>
    <w:rsid w:val="0072536F"/>
    <w:rsid w:val="00725783"/>
    <w:rsid w:val="0073444D"/>
    <w:rsid w:val="00735C89"/>
    <w:rsid w:val="0073600E"/>
    <w:rsid w:val="00741B60"/>
    <w:rsid w:val="007538B6"/>
    <w:rsid w:val="0076239A"/>
    <w:rsid w:val="007650AE"/>
    <w:rsid w:val="00766721"/>
    <w:rsid w:val="00771A84"/>
    <w:rsid w:val="007729A7"/>
    <w:rsid w:val="007739D6"/>
    <w:rsid w:val="007754B5"/>
    <w:rsid w:val="00781C26"/>
    <w:rsid w:val="00784776"/>
    <w:rsid w:val="00784AB5"/>
    <w:rsid w:val="00785293"/>
    <w:rsid w:val="00787491"/>
    <w:rsid w:val="00787EB8"/>
    <w:rsid w:val="007B3FEB"/>
    <w:rsid w:val="007C4250"/>
    <w:rsid w:val="007D4087"/>
    <w:rsid w:val="007F1A77"/>
    <w:rsid w:val="007F4F62"/>
    <w:rsid w:val="007F7308"/>
    <w:rsid w:val="007F768F"/>
    <w:rsid w:val="0080482B"/>
    <w:rsid w:val="0080694B"/>
    <w:rsid w:val="00816299"/>
    <w:rsid w:val="008166C5"/>
    <w:rsid w:val="00816AB5"/>
    <w:rsid w:val="00820DF4"/>
    <w:rsid w:val="00824FB0"/>
    <w:rsid w:val="00826F07"/>
    <w:rsid w:val="00830D59"/>
    <w:rsid w:val="00832400"/>
    <w:rsid w:val="00833FC3"/>
    <w:rsid w:val="00845E26"/>
    <w:rsid w:val="0085239C"/>
    <w:rsid w:val="00854FD4"/>
    <w:rsid w:val="0085628E"/>
    <w:rsid w:val="008613B1"/>
    <w:rsid w:val="00871CF8"/>
    <w:rsid w:val="0087403A"/>
    <w:rsid w:val="008747E6"/>
    <w:rsid w:val="00875693"/>
    <w:rsid w:val="00877E66"/>
    <w:rsid w:val="00882926"/>
    <w:rsid w:val="00884873"/>
    <w:rsid w:val="00891F5C"/>
    <w:rsid w:val="00893D9D"/>
    <w:rsid w:val="00895890"/>
    <w:rsid w:val="00896D37"/>
    <w:rsid w:val="008A6A29"/>
    <w:rsid w:val="008B001A"/>
    <w:rsid w:val="008B023D"/>
    <w:rsid w:val="008B1E78"/>
    <w:rsid w:val="008B3B99"/>
    <w:rsid w:val="008B5091"/>
    <w:rsid w:val="008C06E1"/>
    <w:rsid w:val="008C3108"/>
    <w:rsid w:val="008C47CA"/>
    <w:rsid w:val="008C5E3E"/>
    <w:rsid w:val="008D05DC"/>
    <w:rsid w:val="008D1BE7"/>
    <w:rsid w:val="008E674F"/>
    <w:rsid w:val="008F0E2C"/>
    <w:rsid w:val="008F3852"/>
    <w:rsid w:val="00900AF8"/>
    <w:rsid w:val="0090128E"/>
    <w:rsid w:val="009015C8"/>
    <w:rsid w:val="009123D9"/>
    <w:rsid w:val="009175DF"/>
    <w:rsid w:val="00920862"/>
    <w:rsid w:val="00925481"/>
    <w:rsid w:val="00931E1D"/>
    <w:rsid w:val="009336BB"/>
    <w:rsid w:val="00937127"/>
    <w:rsid w:val="0093760A"/>
    <w:rsid w:val="00940048"/>
    <w:rsid w:val="009440FC"/>
    <w:rsid w:val="009459CC"/>
    <w:rsid w:val="00950AA8"/>
    <w:rsid w:val="00951243"/>
    <w:rsid w:val="009532D5"/>
    <w:rsid w:val="00960106"/>
    <w:rsid w:val="00962C30"/>
    <w:rsid w:val="00965B7B"/>
    <w:rsid w:val="00980911"/>
    <w:rsid w:val="00983F22"/>
    <w:rsid w:val="00984B1A"/>
    <w:rsid w:val="009851CD"/>
    <w:rsid w:val="009875A4"/>
    <w:rsid w:val="00992839"/>
    <w:rsid w:val="00992EAF"/>
    <w:rsid w:val="009A007A"/>
    <w:rsid w:val="009B2BFF"/>
    <w:rsid w:val="009B4801"/>
    <w:rsid w:val="009B6B17"/>
    <w:rsid w:val="009B701A"/>
    <w:rsid w:val="009C1706"/>
    <w:rsid w:val="009C1A25"/>
    <w:rsid w:val="009D023D"/>
    <w:rsid w:val="009D46A9"/>
    <w:rsid w:val="009D5B97"/>
    <w:rsid w:val="009D72EF"/>
    <w:rsid w:val="009E2C9D"/>
    <w:rsid w:val="009E6447"/>
    <w:rsid w:val="009F0FC6"/>
    <w:rsid w:val="009F1380"/>
    <w:rsid w:val="009F34EA"/>
    <w:rsid w:val="009F3790"/>
    <w:rsid w:val="009F4368"/>
    <w:rsid w:val="009F4717"/>
    <w:rsid w:val="009F7D8A"/>
    <w:rsid w:val="00A02342"/>
    <w:rsid w:val="00A03273"/>
    <w:rsid w:val="00A03840"/>
    <w:rsid w:val="00A038A5"/>
    <w:rsid w:val="00A10BE0"/>
    <w:rsid w:val="00A13577"/>
    <w:rsid w:val="00A175C2"/>
    <w:rsid w:val="00A30178"/>
    <w:rsid w:val="00A3328C"/>
    <w:rsid w:val="00A40F82"/>
    <w:rsid w:val="00A441CD"/>
    <w:rsid w:val="00A534DC"/>
    <w:rsid w:val="00A62C6B"/>
    <w:rsid w:val="00A67BC9"/>
    <w:rsid w:val="00A67FC4"/>
    <w:rsid w:val="00A83174"/>
    <w:rsid w:val="00A83542"/>
    <w:rsid w:val="00A92BDE"/>
    <w:rsid w:val="00A9363A"/>
    <w:rsid w:val="00A95652"/>
    <w:rsid w:val="00AA064B"/>
    <w:rsid w:val="00AB1FF4"/>
    <w:rsid w:val="00AB3F64"/>
    <w:rsid w:val="00AB474B"/>
    <w:rsid w:val="00AC4256"/>
    <w:rsid w:val="00AC4717"/>
    <w:rsid w:val="00AC5761"/>
    <w:rsid w:val="00AE53B0"/>
    <w:rsid w:val="00AE65AD"/>
    <w:rsid w:val="00AF35C9"/>
    <w:rsid w:val="00AF5360"/>
    <w:rsid w:val="00AF78AE"/>
    <w:rsid w:val="00B00139"/>
    <w:rsid w:val="00B007ED"/>
    <w:rsid w:val="00B03372"/>
    <w:rsid w:val="00B20EE0"/>
    <w:rsid w:val="00B24730"/>
    <w:rsid w:val="00B31157"/>
    <w:rsid w:val="00B314E4"/>
    <w:rsid w:val="00B32806"/>
    <w:rsid w:val="00B36CAD"/>
    <w:rsid w:val="00B40DB4"/>
    <w:rsid w:val="00B41728"/>
    <w:rsid w:val="00B4188A"/>
    <w:rsid w:val="00B42644"/>
    <w:rsid w:val="00B428B3"/>
    <w:rsid w:val="00B436AE"/>
    <w:rsid w:val="00B55CF7"/>
    <w:rsid w:val="00B573B4"/>
    <w:rsid w:val="00B57980"/>
    <w:rsid w:val="00B64B58"/>
    <w:rsid w:val="00B6594C"/>
    <w:rsid w:val="00B847AD"/>
    <w:rsid w:val="00B9579A"/>
    <w:rsid w:val="00BA55E8"/>
    <w:rsid w:val="00BA6614"/>
    <w:rsid w:val="00BB1EAC"/>
    <w:rsid w:val="00BB3A8B"/>
    <w:rsid w:val="00BC1409"/>
    <w:rsid w:val="00BD1CEF"/>
    <w:rsid w:val="00BD6CA4"/>
    <w:rsid w:val="00BD7536"/>
    <w:rsid w:val="00BD7565"/>
    <w:rsid w:val="00BE2BE5"/>
    <w:rsid w:val="00BE4F06"/>
    <w:rsid w:val="00BF1509"/>
    <w:rsid w:val="00BF3E6D"/>
    <w:rsid w:val="00C06748"/>
    <w:rsid w:val="00C146BB"/>
    <w:rsid w:val="00C250D8"/>
    <w:rsid w:val="00C32EC9"/>
    <w:rsid w:val="00C36B0C"/>
    <w:rsid w:val="00C55792"/>
    <w:rsid w:val="00C55E87"/>
    <w:rsid w:val="00C5794B"/>
    <w:rsid w:val="00C61000"/>
    <w:rsid w:val="00C61E65"/>
    <w:rsid w:val="00C640A8"/>
    <w:rsid w:val="00C65910"/>
    <w:rsid w:val="00C65B88"/>
    <w:rsid w:val="00C67535"/>
    <w:rsid w:val="00C74E12"/>
    <w:rsid w:val="00C75560"/>
    <w:rsid w:val="00C75C24"/>
    <w:rsid w:val="00C831DB"/>
    <w:rsid w:val="00C864BC"/>
    <w:rsid w:val="00C955DC"/>
    <w:rsid w:val="00C97810"/>
    <w:rsid w:val="00CB2251"/>
    <w:rsid w:val="00CB4DBC"/>
    <w:rsid w:val="00CC4E40"/>
    <w:rsid w:val="00CC539F"/>
    <w:rsid w:val="00CC5702"/>
    <w:rsid w:val="00CC5FEE"/>
    <w:rsid w:val="00CD53CE"/>
    <w:rsid w:val="00CD6D59"/>
    <w:rsid w:val="00CE487D"/>
    <w:rsid w:val="00CF3992"/>
    <w:rsid w:val="00CF61FE"/>
    <w:rsid w:val="00CF7BFC"/>
    <w:rsid w:val="00D00481"/>
    <w:rsid w:val="00D009F1"/>
    <w:rsid w:val="00D04873"/>
    <w:rsid w:val="00D1122C"/>
    <w:rsid w:val="00D11723"/>
    <w:rsid w:val="00D17032"/>
    <w:rsid w:val="00D21D02"/>
    <w:rsid w:val="00D2309D"/>
    <w:rsid w:val="00D340E2"/>
    <w:rsid w:val="00D350F9"/>
    <w:rsid w:val="00D459A2"/>
    <w:rsid w:val="00D47AD7"/>
    <w:rsid w:val="00D52B6C"/>
    <w:rsid w:val="00D65403"/>
    <w:rsid w:val="00D673BC"/>
    <w:rsid w:val="00D76909"/>
    <w:rsid w:val="00D77E9E"/>
    <w:rsid w:val="00D81B60"/>
    <w:rsid w:val="00D90501"/>
    <w:rsid w:val="00D91797"/>
    <w:rsid w:val="00D94B8B"/>
    <w:rsid w:val="00D951B1"/>
    <w:rsid w:val="00D961DF"/>
    <w:rsid w:val="00D97995"/>
    <w:rsid w:val="00DA2FEF"/>
    <w:rsid w:val="00DA3BC3"/>
    <w:rsid w:val="00DA62B0"/>
    <w:rsid w:val="00DB6E5C"/>
    <w:rsid w:val="00DC03F7"/>
    <w:rsid w:val="00DC351B"/>
    <w:rsid w:val="00DE249B"/>
    <w:rsid w:val="00DE5547"/>
    <w:rsid w:val="00DE6F21"/>
    <w:rsid w:val="00DF1322"/>
    <w:rsid w:val="00E00C8B"/>
    <w:rsid w:val="00E030A5"/>
    <w:rsid w:val="00E07FBB"/>
    <w:rsid w:val="00E106F3"/>
    <w:rsid w:val="00E10EFD"/>
    <w:rsid w:val="00E111CD"/>
    <w:rsid w:val="00E124D6"/>
    <w:rsid w:val="00E15EB5"/>
    <w:rsid w:val="00E16094"/>
    <w:rsid w:val="00E16F9E"/>
    <w:rsid w:val="00E27426"/>
    <w:rsid w:val="00E42F9F"/>
    <w:rsid w:val="00E45050"/>
    <w:rsid w:val="00E65091"/>
    <w:rsid w:val="00E70E3F"/>
    <w:rsid w:val="00E710C3"/>
    <w:rsid w:val="00E71B40"/>
    <w:rsid w:val="00E73264"/>
    <w:rsid w:val="00E75C98"/>
    <w:rsid w:val="00E763EB"/>
    <w:rsid w:val="00E76856"/>
    <w:rsid w:val="00E8119A"/>
    <w:rsid w:val="00E83847"/>
    <w:rsid w:val="00E8595D"/>
    <w:rsid w:val="00E938E0"/>
    <w:rsid w:val="00E95632"/>
    <w:rsid w:val="00EA356C"/>
    <w:rsid w:val="00EA3FE8"/>
    <w:rsid w:val="00EA5D30"/>
    <w:rsid w:val="00EB52CE"/>
    <w:rsid w:val="00EE3C09"/>
    <w:rsid w:val="00EE607B"/>
    <w:rsid w:val="00EF32DC"/>
    <w:rsid w:val="00EF5DAF"/>
    <w:rsid w:val="00F0276E"/>
    <w:rsid w:val="00F06D88"/>
    <w:rsid w:val="00F10B01"/>
    <w:rsid w:val="00F1329C"/>
    <w:rsid w:val="00F15C2D"/>
    <w:rsid w:val="00F22D2A"/>
    <w:rsid w:val="00F23C48"/>
    <w:rsid w:val="00F26944"/>
    <w:rsid w:val="00F3388F"/>
    <w:rsid w:val="00F417EB"/>
    <w:rsid w:val="00F420D7"/>
    <w:rsid w:val="00F443B8"/>
    <w:rsid w:val="00F5132F"/>
    <w:rsid w:val="00F5363D"/>
    <w:rsid w:val="00F62F7B"/>
    <w:rsid w:val="00F71336"/>
    <w:rsid w:val="00F71715"/>
    <w:rsid w:val="00F7334D"/>
    <w:rsid w:val="00F760B9"/>
    <w:rsid w:val="00F76D55"/>
    <w:rsid w:val="00F847D6"/>
    <w:rsid w:val="00F86095"/>
    <w:rsid w:val="00F9290C"/>
    <w:rsid w:val="00F96CEA"/>
    <w:rsid w:val="00FA0E71"/>
    <w:rsid w:val="00FB4086"/>
    <w:rsid w:val="00FB50CD"/>
    <w:rsid w:val="00FD13C2"/>
    <w:rsid w:val="00FD50C4"/>
    <w:rsid w:val="00FE1ADF"/>
    <w:rsid w:val="00FE2996"/>
    <w:rsid w:val="00FE33F6"/>
    <w:rsid w:val="00FE37CD"/>
    <w:rsid w:val="00FE5C22"/>
    <w:rsid w:val="00FE7B5D"/>
    <w:rsid w:val="00FF21F7"/>
    <w:rsid w:val="00FF43F2"/>
    <w:rsid w:val="00FF4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5C100"/>
  <w15:docId w15:val="{DE90FF42-BFC7-4E9A-9111-723BD7943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91797"/>
  </w:style>
  <w:style w:type="paragraph" w:styleId="1">
    <w:name w:val="heading 1"/>
    <w:basedOn w:val="a0"/>
    <w:next w:val="a0"/>
    <w:link w:val="10"/>
    <w:uiPriority w:val="9"/>
    <w:qFormat/>
    <w:rsid w:val="00CC5F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CC5F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CC5FE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874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0"/>
    <w:link w:val="a6"/>
    <w:uiPriority w:val="99"/>
    <w:semiHidden/>
    <w:unhideWhenUsed/>
    <w:rsid w:val="0087403A"/>
    <w:pPr>
      <w:spacing w:after="0" w:line="240" w:lineRule="auto"/>
    </w:pPr>
    <w:rPr>
      <w:sz w:val="20"/>
      <w:szCs w:val="20"/>
    </w:rPr>
  </w:style>
  <w:style w:type="character" w:customStyle="1" w:styleId="a6">
    <w:name w:val="Текст сноски Знак"/>
    <w:basedOn w:val="a1"/>
    <w:link w:val="a5"/>
    <w:uiPriority w:val="99"/>
    <w:semiHidden/>
    <w:rsid w:val="0087403A"/>
    <w:rPr>
      <w:sz w:val="20"/>
      <w:szCs w:val="20"/>
    </w:rPr>
  </w:style>
  <w:style w:type="character" w:styleId="a7">
    <w:name w:val="footnote reference"/>
    <w:basedOn w:val="a1"/>
    <w:uiPriority w:val="99"/>
    <w:semiHidden/>
    <w:unhideWhenUsed/>
    <w:rsid w:val="0087403A"/>
    <w:rPr>
      <w:vertAlign w:val="superscript"/>
    </w:rPr>
  </w:style>
  <w:style w:type="paragraph" w:styleId="a8">
    <w:name w:val="List Paragraph"/>
    <w:basedOn w:val="a0"/>
    <w:uiPriority w:val="34"/>
    <w:qFormat/>
    <w:rsid w:val="0087403A"/>
    <w:pPr>
      <w:ind w:left="720"/>
      <w:contextualSpacing/>
    </w:pPr>
  </w:style>
  <w:style w:type="character" w:styleId="a9">
    <w:name w:val="annotation reference"/>
    <w:basedOn w:val="a1"/>
    <w:uiPriority w:val="99"/>
    <w:unhideWhenUsed/>
    <w:rsid w:val="0073444D"/>
    <w:rPr>
      <w:sz w:val="16"/>
      <w:szCs w:val="16"/>
    </w:rPr>
  </w:style>
  <w:style w:type="paragraph" w:styleId="aa">
    <w:name w:val="annotation text"/>
    <w:basedOn w:val="a0"/>
    <w:link w:val="ab"/>
    <w:uiPriority w:val="99"/>
    <w:unhideWhenUsed/>
    <w:rsid w:val="0073444D"/>
    <w:pPr>
      <w:spacing w:line="240" w:lineRule="auto"/>
    </w:pPr>
    <w:rPr>
      <w:sz w:val="20"/>
      <w:szCs w:val="20"/>
    </w:rPr>
  </w:style>
  <w:style w:type="character" w:customStyle="1" w:styleId="ab">
    <w:name w:val="Текст примечания Знак"/>
    <w:basedOn w:val="a1"/>
    <w:link w:val="aa"/>
    <w:uiPriority w:val="99"/>
    <w:rsid w:val="0073444D"/>
    <w:rPr>
      <w:sz w:val="20"/>
      <w:szCs w:val="20"/>
    </w:rPr>
  </w:style>
  <w:style w:type="table" w:customStyle="1" w:styleId="18">
    <w:name w:val="Сетка таблицы18"/>
    <w:basedOn w:val="a2"/>
    <w:next w:val="a4"/>
    <w:uiPriority w:val="59"/>
    <w:rsid w:val="00734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73444D"/>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73444D"/>
    <w:rPr>
      <w:rFonts w:ascii="Tahoma" w:hAnsi="Tahoma" w:cs="Tahoma"/>
      <w:sz w:val="16"/>
      <w:szCs w:val="16"/>
    </w:rPr>
  </w:style>
  <w:style w:type="table" w:customStyle="1" w:styleId="6">
    <w:name w:val="Сетка таблицы6"/>
    <w:basedOn w:val="a2"/>
    <w:next w:val="a4"/>
    <w:uiPriority w:val="59"/>
    <w:rsid w:val="00734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2"/>
    <w:next w:val="a4"/>
    <w:uiPriority w:val="59"/>
    <w:rsid w:val="00481C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Нумерация таблиц"/>
    <w:basedOn w:val="a0"/>
    <w:rsid w:val="00481C05"/>
    <w:pPr>
      <w:numPr>
        <w:numId w:val="2"/>
      </w:numPr>
      <w:spacing w:after="0" w:line="240" w:lineRule="auto"/>
      <w:contextualSpacing/>
    </w:pPr>
    <w:rPr>
      <w:rFonts w:ascii="Times New Roman" w:hAnsi="Times New Roman" w:cs="Times New Roman"/>
      <w:lang w:val="en-US"/>
    </w:rPr>
  </w:style>
  <w:style w:type="character" w:customStyle="1" w:styleId="10">
    <w:name w:val="Заголовок 1 Знак"/>
    <w:basedOn w:val="a1"/>
    <w:link w:val="1"/>
    <w:uiPriority w:val="9"/>
    <w:rsid w:val="00CC5FE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CC5FE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CC5FEE"/>
    <w:rPr>
      <w:rFonts w:asciiTheme="majorHAnsi" w:eastAsiaTheme="majorEastAsia" w:hAnsiTheme="majorHAnsi" w:cstheme="majorBidi"/>
      <w:b/>
      <w:bCs/>
      <w:color w:val="4F81BD" w:themeColor="accent1"/>
    </w:rPr>
  </w:style>
  <w:style w:type="paragraph" w:styleId="ae">
    <w:name w:val="header"/>
    <w:basedOn w:val="a0"/>
    <w:link w:val="af"/>
    <w:uiPriority w:val="99"/>
    <w:unhideWhenUsed/>
    <w:rsid w:val="00FF4A8B"/>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FF4A8B"/>
  </w:style>
  <w:style w:type="paragraph" w:styleId="af0">
    <w:name w:val="footer"/>
    <w:basedOn w:val="a0"/>
    <w:link w:val="af1"/>
    <w:uiPriority w:val="99"/>
    <w:unhideWhenUsed/>
    <w:rsid w:val="00FF4A8B"/>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FF4A8B"/>
  </w:style>
  <w:style w:type="paragraph" w:styleId="af2">
    <w:name w:val="Revision"/>
    <w:hidden/>
    <w:uiPriority w:val="99"/>
    <w:semiHidden/>
    <w:rsid w:val="00BD1CEF"/>
    <w:pPr>
      <w:spacing w:after="0" w:line="240" w:lineRule="auto"/>
    </w:pPr>
  </w:style>
  <w:style w:type="table" w:customStyle="1" w:styleId="11">
    <w:name w:val="Сетка таблицы1"/>
    <w:basedOn w:val="a2"/>
    <w:next w:val="a4"/>
    <w:uiPriority w:val="59"/>
    <w:rsid w:val="00980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2"/>
    <w:next w:val="a4"/>
    <w:uiPriority w:val="59"/>
    <w:rsid w:val="00286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4"/>
    <w:uiPriority w:val="59"/>
    <w:rsid w:val="00286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4"/>
    <w:uiPriority w:val="59"/>
    <w:rsid w:val="00896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4"/>
    <w:uiPriority w:val="59"/>
    <w:rsid w:val="00D91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66632">
      <w:bodyDiv w:val="1"/>
      <w:marLeft w:val="0"/>
      <w:marRight w:val="0"/>
      <w:marTop w:val="0"/>
      <w:marBottom w:val="0"/>
      <w:divBdr>
        <w:top w:val="none" w:sz="0" w:space="0" w:color="auto"/>
        <w:left w:val="none" w:sz="0" w:space="0" w:color="auto"/>
        <w:bottom w:val="none" w:sz="0" w:space="0" w:color="auto"/>
        <w:right w:val="none" w:sz="0" w:space="0" w:color="auto"/>
      </w:divBdr>
    </w:div>
    <w:div w:id="514541220">
      <w:bodyDiv w:val="1"/>
      <w:marLeft w:val="0"/>
      <w:marRight w:val="0"/>
      <w:marTop w:val="0"/>
      <w:marBottom w:val="0"/>
      <w:divBdr>
        <w:top w:val="none" w:sz="0" w:space="0" w:color="auto"/>
        <w:left w:val="none" w:sz="0" w:space="0" w:color="auto"/>
        <w:bottom w:val="none" w:sz="0" w:space="0" w:color="auto"/>
        <w:right w:val="none" w:sz="0" w:space="0" w:color="auto"/>
      </w:divBdr>
    </w:div>
    <w:div w:id="763303731">
      <w:bodyDiv w:val="1"/>
      <w:marLeft w:val="0"/>
      <w:marRight w:val="0"/>
      <w:marTop w:val="0"/>
      <w:marBottom w:val="0"/>
      <w:divBdr>
        <w:top w:val="none" w:sz="0" w:space="0" w:color="auto"/>
        <w:left w:val="none" w:sz="0" w:space="0" w:color="auto"/>
        <w:bottom w:val="none" w:sz="0" w:space="0" w:color="auto"/>
        <w:right w:val="none" w:sz="0" w:space="0" w:color="auto"/>
      </w:divBdr>
    </w:div>
    <w:div w:id="795828152">
      <w:bodyDiv w:val="1"/>
      <w:marLeft w:val="0"/>
      <w:marRight w:val="0"/>
      <w:marTop w:val="0"/>
      <w:marBottom w:val="0"/>
      <w:divBdr>
        <w:top w:val="none" w:sz="0" w:space="0" w:color="auto"/>
        <w:left w:val="none" w:sz="0" w:space="0" w:color="auto"/>
        <w:bottom w:val="none" w:sz="0" w:space="0" w:color="auto"/>
        <w:right w:val="none" w:sz="0" w:space="0" w:color="auto"/>
      </w:divBdr>
    </w:div>
    <w:div w:id="852955849">
      <w:bodyDiv w:val="1"/>
      <w:marLeft w:val="0"/>
      <w:marRight w:val="0"/>
      <w:marTop w:val="0"/>
      <w:marBottom w:val="0"/>
      <w:divBdr>
        <w:top w:val="none" w:sz="0" w:space="0" w:color="auto"/>
        <w:left w:val="none" w:sz="0" w:space="0" w:color="auto"/>
        <w:bottom w:val="none" w:sz="0" w:space="0" w:color="auto"/>
        <w:right w:val="none" w:sz="0" w:space="0" w:color="auto"/>
      </w:divBdr>
    </w:div>
    <w:div w:id="1131509509">
      <w:bodyDiv w:val="1"/>
      <w:marLeft w:val="0"/>
      <w:marRight w:val="0"/>
      <w:marTop w:val="0"/>
      <w:marBottom w:val="0"/>
      <w:divBdr>
        <w:top w:val="none" w:sz="0" w:space="0" w:color="auto"/>
        <w:left w:val="none" w:sz="0" w:space="0" w:color="auto"/>
        <w:bottom w:val="none" w:sz="0" w:space="0" w:color="auto"/>
        <w:right w:val="none" w:sz="0" w:space="0" w:color="auto"/>
      </w:divBdr>
    </w:div>
    <w:div w:id="1261446978">
      <w:bodyDiv w:val="1"/>
      <w:marLeft w:val="0"/>
      <w:marRight w:val="0"/>
      <w:marTop w:val="0"/>
      <w:marBottom w:val="0"/>
      <w:divBdr>
        <w:top w:val="none" w:sz="0" w:space="0" w:color="auto"/>
        <w:left w:val="none" w:sz="0" w:space="0" w:color="auto"/>
        <w:bottom w:val="none" w:sz="0" w:space="0" w:color="auto"/>
        <w:right w:val="none" w:sz="0" w:space="0" w:color="auto"/>
      </w:divBdr>
    </w:div>
    <w:div w:id="1599682316">
      <w:bodyDiv w:val="1"/>
      <w:marLeft w:val="0"/>
      <w:marRight w:val="0"/>
      <w:marTop w:val="0"/>
      <w:marBottom w:val="0"/>
      <w:divBdr>
        <w:top w:val="none" w:sz="0" w:space="0" w:color="auto"/>
        <w:left w:val="none" w:sz="0" w:space="0" w:color="auto"/>
        <w:bottom w:val="none" w:sz="0" w:space="0" w:color="auto"/>
        <w:right w:val="none" w:sz="0" w:space="0" w:color="auto"/>
      </w:divBdr>
    </w:div>
    <w:div w:id="1798257572">
      <w:bodyDiv w:val="1"/>
      <w:marLeft w:val="0"/>
      <w:marRight w:val="0"/>
      <w:marTop w:val="0"/>
      <w:marBottom w:val="0"/>
      <w:divBdr>
        <w:top w:val="none" w:sz="0" w:space="0" w:color="auto"/>
        <w:left w:val="none" w:sz="0" w:space="0" w:color="auto"/>
        <w:bottom w:val="none" w:sz="0" w:space="0" w:color="auto"/>
        <w:right w:val="none" w:sz="0" w:space="0" w:color="auto"/>
      </w:divBdr>
    </w:div>
    <w:div w:id="185106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752FAE4783B54C87C032B15FF8A851" ma:contentTypeVersion="1" ma:contentTypeDescription="Создание документа." ma:contentTypeScope="" ma:versionID="010a618a64360359b97abe3d261e6286">
  <xsd:schema xmlns:xsd="http://www.w3.org/2001/XMLSchema" xmlns:xs="http://www.w3.org/2001/XMLSchema" xmlns:p="http://schemas.microsoft.com/office/2006/metadata/properties" targetNamespace="http://schemas.microsoft.com/office/2006/metadata/properties" ma:root="true" ma:fieldsID="77358073ea71743665a0b7905d68c5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E7607-1D5D-4FCE-87E5-C18B56EC3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2C4046-8DAF-4ABD-BA9D-C67B6885FE93}">
  <ds:schemaRefs>
    <ds:schemaRef ds:uri="http://schemas.microsoft.com/sharepoint/v3/contenttype/forms"/>
  </ds:schemaRefs>
</ds:datastoreItem>
</file>

<file path=customXml/itemProps3.xml><?xml version="1.0" encoding="utf-8"?>
<ds:datastoreItem xmlns:ds="http://schemas.openxmlformats.org/officeDocument/2006/customXml" ds:itemID="{56D72846-E887-42DA-B913-952DB188F16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1840854-6B73-4030-9CC6-0A4CE2043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7660</TotalTime>
  <Pages>4</Pages>
  <Words>726</Words>
  <Characters>4141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nsd</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Изм.2_Ермаков</dc:creator>
  <cp:lastModifiedBy>Изм.3_Ермаков</cp:lastModifiedBy>
  <cp:revision>141</cp:revision>
  <dcterms:created xsi:type="dcterms:W3CDTF">2021-04-16T11:38:00Z</dcterms:created>
  <dcterms:modified xsi:type="dcterms:W3CDTF">2023-12-08T16:16:00Z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0x0101004B752FAE4783B54C87C032B15FF8A851</vt:lpwstr>
  </property>
</Properties>
</file>