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85C100" w14:textId="62B5FB38" w:rsidR="00FD13C2" w:rsidRPr="00623913" w:rsidRDefault="0087403A" w:rsidP="00496382">
      <w:pPr>
        <w:spacing w:after="0"/>
        <w:jc w:val="center"/>
        <w:rPr>
          <w:rFonts w:ascii="Times New Roman" w:hAnsi="Times New Roman" w:cs="Times New Roman"/>
          <w:b/>
          <w:sz w:val="20"/>
          <w:szCs w:val="20"/>
        </w:rPr>
      </w:pPr>
      <w:r w:rsidRPr="00623913">
        <w:rPr>
          <w:rFonts w:ascii="Times New Roman" w:hAnsi="Times New Roman" w:cs="Times New Roman"/>
          <w:b/>
          <w:sz w:val="20"/>
          <w:szCs w:val="20"/>
        </w:rPr>
        <w:t xml:space="preserve">Изменения в Спецификации ЭД по КД по состоянию на </w:t>
      </w:r>
      <w:r w:rsidR="002003E3" w:rsidRPr="002003E3">
        <w:rPr>
          <w:rFonts w:ascii="Times New Roman" w:hAnsi="Times New Roman" w:cs="Times New Roman"/>
          <w:b/>
          <w:sz w:val="20"/>
          <w:szCs w:val="20"/>
        </w:rPr>
        <w:t>20</w:t>
      </w:r>
      <w:r w:rsidR="004C6315">
        <w:rPr>
          <w:rFonts w:ascii="Times New Roman" w:hAnsi="Times New Roman" w:cs="Times New Roman"/>
          <w:b/>
          <w:sz w:val="20"/>
          <w:szCs w:val="20"/>
        </w:rPr>
        <w:t>.0</w:t>
      </w:r>
      <w:r w:rsidR="002003E3" w:rsidRPr="002003E3">
        <w:rPr>
          <w:rFonts w:ascii="Times New Roman" w:hAnsi="Times New Roman" w:cs="Times New Roman"/>
          <w:b/>
          <w:sz w:val="20"/>
          <w:szCs w:val="20"/>
        </w:rPr>
        <w:t>6</w:t>
      </w:r>
      <w:r w:rsidR="004C6315">
        <w:rPr>
          <w:rFonts w:ascii="Times New Roman" w:hAnsi="Times New Roman" w:cs="Times New Roman"/>
          <w:b/>
          <w:sz w:val="20"/>
          <w:szCs w:val="20"/>
        </w:rPr>
        <w:t>.2024</w:t>
      </w:r>
      <w:r w:rsidRPr="00623913">
        <w:rPr>
          <w:rFonts w:ascii="Times New Roman" w:hAnsi="Times New Roman" w:cs="Times New Roman"/>
          <w:b/>
          <w:sz w:val="20"/>
          <w:szCs w:val="20"/>
        </w:rPr>
        <w:t>г.</w:t>
      </w:r>
    </w:p>
    <w:p w14:paraId="2B082315" w14:textId="77777777" w:rsidR="00D90501" w:rsidRPr="00623913" w:rsidRDefault="00D90501" w:rsidP="00496382">
      <w:pPr>
        <w:spacing w:after="0"/>
        <w:jc w:val="center"/>
        <w:rPr>
          <w:rFonts w:ascii="Times New Roman" w:hAnsi="Times New Roman" w:cs="Times New Roman"/>
          <w:b/>
          <w:sz w:val="20"/>
          <w:szCs w:val="20"/>
        </w:rPr>
      </w:pPr>
    </w:p>
    <w:p w14:paraId="732DEC4D" w14:textId="5337EB80" w:rsidR="002868D5" w:rsidRPr="00623913" w:rsidRDefault="002868D5" w:rsidP="00F62F7B">
      <w:pPr>
        <w:pStyle w:val="2"/>
        <w:numPr>
          <w:ilvl w:val="0"/>
          <w:numId w:val="3"/>
        </w:numPr>
        <w:spacing w:before="0"/>
        <w:rPr>
          <w:rFonts w:ascii="Times New Roman" w:eastAsiaTheme="minorHAnsi" w:hAnsi="Times New Roman" w:cs="Times New Roman"/>
          <w:bCs w:val="0"/>
          <w:color w:val="auto"/>
          <w:sz w:val="20"/>
          <w:szCs w:val="20"/>
        </w:rPr>
      </w:pPr>
      <w:r w:rsidRPr="00623913">
        <w:rPr>
          <w:rFonts w:ascii="Times New Roman" w:eastAsiaTheme="minorHAnsi" w:hAnsi="Times New Roman" w:cs="Times New Roman"/>
          <w:bCs w:val="0"/>
          <w:color w:val="auto"/>
          <w:sz w:val="20"/>
          <w:szCs w:val="20"/>
        </w:rPr>
        <w:t xml:space="preserve">Изменения в Часть I. Перечень документов, которые вступают в силу </w:t>
      </w:r>
      <w:r w:rsidR="002003E3" w:rsidRPr="002003E3">
        <w:rPr>
          <w:rFonts w:ascii="Times New Roman" w:eastAsiaTheme="minorHAnsi" w:hAnsi="Times New Roman" w:cs="Times New Roman"/>
          <w:bCs w:val="0"/>
          <w:color w:val="auto"/>
          <w:sz w:val="20"/>
          <w:szCs w:val="20"/>
        </w:rPr>
        <w:t>19</w:t>
      </w:r>
      <w:r w:rsidR="004C6315">
        <w:rPr>
          <w:rFonts w:ascii="Times New Roman" w:eastAsiaTheme="minorHAnsi" w:hAnsi="Times New Roman" w:cs="Times New Roman"/>
          <w:bCs w:val="0"/>
          <w:color w:val="auto"/>
          <w:sz w:val="20"/>
          <w:szCs w:val="20"/>
        </w:rPr>
        <w:t>.0</w:t>
      </w:r>
      <w:r w:rsidR="002003E3" w:rsidRPr="002003E3">
        <w:rPr>
          <w:rFonts w:ascii="Times New Roman" w:eastAsiaTheme="minorHAnsi" w:hAnsi="Times New Roman" w:cs="Times New Roman"/>
          <w:bCs w:val="0"/>
          <w:color w:val="auto"/>
          <w:sz w:val="20"/>
          <w:szCs w:val="20"/>
        </w:rPr>
        <w:t>8</w:t>
      </w:r>
      <w:r w:rsidR="00D91797">
        <w:rPr>
          <w:rFonts w:ascii="Times New Roman" w:eastAsiaTheme="minorHAnsi" w:hAnsi="Times New Roman" w:cs="Times New Roman"/>
          <w:bCs w:val="0"/>
          <w:color w:val="auto"/>
          <w:sz w:val="20"/>
          <w:szCs w:val="20"/>
        </w:rPr>
        <w:t>.2024</w:t>
      </w:r>
      <w:r w:rsidR="00F62F7B" w:rsidRPr="00F62F7B">
        <w:rPr>
          <w:rFonts w:ascii="Times New Roman" w:eastAsiaTheme="minorHAnsi" w:hAnsi="Times New Roman" w:cs="Times New Roman"/>
          <w:bCs w:val="0"/>
          <w:color w:val="auto"/>
          <w:sz w:val="20"/>
          <w:szCs w:val="20"/>
        </w:rPr>
        <w:t xml:space="preserve"> </w:t>
      </w:r>
      <w:r w:rsidRPr="00623913">
        <w:rPr>
          <w:rFonts w:ascii="Times New Roman" w:eastAsiaTheme="minorHAnsi" w:hAnsi="Times New Roman" w:cs="Times New Roman"/>
          <w:bCs w:val="0"/>
          <w:color w:val="auto"/>
          <w:sz w:val="20"/>
          <w:szCs w:val="20"/>
        </w:rPr>
        <w:t>года</w:t>
      </w:r>
    </w:p>
    <w:p w14:paraId="02A15411" w14:textId="77777777" w:rsidR="002868D5" w:rsidRPr="00623913" w:rsidRDefault="002868D5" w:rsidP="00496382">
      <w:pPr>
        <w:spacing w:after="0"/>
        <w:rPr>
          <w:rFonts w:ascii="Times New Roman" w:hAnsi="Times New Roman" w:cs="Times New Roman"/>
          <w:sz w:val="20"/>
          <w:szCs w:val="20"/>
        </w:rPr>
      </w:pPr>
      <w:r w:rsidRPr="00623913">
        <w:rPr>
          <w:rFonts w:ascii="Times New Roman" w:hAnsi="Times New Roman" w:cs="Times New Roman"/>
          <w:sz w:val="20"/>
          <w:szCs w:val="20"/>
        </w:rPr>
        <w:t>-</w:t>
      </w:r>
    </w:p>
    <w:p w14:paraId="0222B8CB" w14:textId="4A56F14C" w:rsidR="002868D5" w:rsidRPr="00623913" w:rsidRDefault="002868D5" w:rsidP="002003E3">
      <w:pPr>
        <w:keepNext/>
        <w:keepLines/>
        <w:numPr>
          <w:ilvl w:val="0"/>
          <w:numId w:val="3"/>
        </w:numPr>
        <w:spacing w:after="0"/>
        <w:outlineLvl w:val="1"/>
        <w:rPr>
          <w:rFonts w:ascii="Times New Roman" w:hAnsi="Times New Roman" w:cs="Times New Roman"/>
          <w:b/>
          <w:sz w:val="20"/>
          <w:szCs w:val="20"/>
        </w:rPr>
      </w:pPr>
      <w:r w:rsidRPr="00623913">
        <w:rPr>
          <w:rFonts w:ascii="Times New Roman" w:hAnsi="Times New Roman" w:cs="Times New Roman"/>
          <w:b/>
          <w:sz w:val="20"/>
          <w:szCs w:val="20"/>
        </w:rPr>
        <w:t xml:space="preserve">Изменения xml схемы, которые вступают в силу </w:t>
      </w:r>
      <w:r w:rsidR="002003E3" w:rsidRPr="002003E3">
        <w:rPr>
          <w:rFonts w:ascii="Times New Roman" w:hAnsi="Times New Roman" w:cs="Times New Roman"/>
          <w:b/>
          <w:sz w:val="20"/>
          <w:szCs w:val="20"/>
        </w:rPr>
        <w:t>19.08.</w:t>
      </w:r>
      <w:r w:rsidR="004C6315" w:rsidRPr="004C6315">
        <w:rPr>
          <w:rFonts w:ascii="Times New Roman" w:hAnsi="Times New Roman" w:cs="Times New Roman"/>
          <w:b/>
          <w:sz w:val="20"/>
          <w:szCs w:val="20"/>
        </w:rPr>
        <w:t xml:space="preserve">2024 </w:t>
      </w:r>
      <w:r w:rsidRPr="00623913">
        <w:rPr>
          <w:rFonts w:ascii="Times New Roman" w:hAnsi="Times New Roman" w:cs="Times New Roman"/>
          <w:b/>
          <w:sz w:val="20"/>
          <w:szCs w:val="20"/>
        </w:rPr>
        <w:t>года</w:t>
      </w:r>
    </w:p>
    <w:p w14:paraId="3031F010" w14:textId="59F1ABD2" w:rsidR="002868D5" w:rsidRPr="00623913" w:rsidRDefault="004C6315" w:rsidP="00496382">
      <w:pPr>
        <w:spacing w:after="0"/>
        <w:rPr>
          <w:rFonts w:ascii="Times New Roman" w:hAnsi="Times New Roman" w:cs="Times New Roman"/>
          <w:sz w:val="20"/>
          <w:szCs w:val="20"/>
        </w:rPr>
      </w:pPr>
      <w:r>
        <w:rPr>
          <w:rFonts w:ascii="Times New Roman" w:hAnsi="Times New Roman" w:cs="Times New Roman"/>
          <w:sz w:val="20"/>
          <w:szCs w:val="20"/>
        </w:rPr>
        <w:t>-</w:t>
      </w:r>
    </w:p>
    <w:p w14:paraId="06D364CA" w14:textId="382765AF" w:rsidR="002868D5" w:rsidRDefault="002868D5" w:rsidP="002003E3">
      <w:pPr>
        <w:keepNext/>
        <w:keepLines/>
        <w:numPr>
          <w:ilvl w:val="0"/>
          <w:numId w:val="3"/>
        </w:numPr>
        <w:spacing w:after="0"/>
        <w:outlineLvl w:val="1"/>
        <w:rPr>
          <w:rFonts w:ascii="Times New Roman" w:hAnsi="Times New Roman" w:cs="Times New Roman"/>
          <w:b/>
          <w:sz w:val="20"/>
          <w:szCs w:val="20"/>
        </w:rPr>
      </w:pPr>
      <w:r w:rsidRPr="00623913">
        <w:rPr>
          <w:rFonts w:ascii="Times New Roman" w:hAnsi="Times New Roman" w:cs="Times New Roman"/>
          <w:b/>
          <w:sz w:val="20"/>
          <w:szCs w:val="20"/>
        </w:rPr>
        <w:t xml:space="preserve">Описание изменений аннотаций (комментариев), которые вступают в силу </w:t>
      </w:r>
      <w:r w:rsidR="002003E3" w:rsidRPr="002003E3">
        <w:rPr>
          <w:rFonts w:ascii="Times New Roman" w:hAnsi="Times New Roman" w:cs="Times New Roman"/>
          <w:b/>
          <w:sz w:val="20"/>
          <w:szCs w:val="20"/>
        </w:rPr>
        <w:t>19.08.</w:t>
      </w:r>
      <w:bookmarkStart w:id="0" w:name="_GoBack"/>
      <w:bookmarkEnd w:id="0"/>
      <w:r w:rsidR="004C6315" w:rsidRPr="004C6315">
        <w:rPr>
          <w:rFonts w:ascii="Times New Roman" w:hAnsi="Times New Roman" w:cs="Times New Roman"/>
          <w:b/>
          <w:sz w:val="20"/>
          <w:szCs w:val="20"/>
        </w:rPr>
        <w:t xml:space="preserve">.2024 </w:t>
      </w:r>
      <w:r w:rsidR="001B3A3D" w:rsidRPr="00623913">
        <w:rPr>
          <w:rFonts w:ascii="Times New Roman" w:hAnsi="Times New Roman" w:cs="Times New Roman"/>
          <w:b/>
          <w:sz w:val="20"/>
          <w:szCs w:val="20"/>
        </w:rPr>
        <w:t>года</w:t>
      </w:r>
    </w:p>
    <w:p w14:paraId="370DA3F9" w14:textId="77777777" w:rsidR="00D91797" w:rsidRPr="00623913" w:rsidRDefault="00D91797" w:rsidP="00D91797"/>
    <w:tbl>
      <w:tblPr>
        <w:tblStyle w:val="611"/>
        <w:tblW w:w="15451" w:type="dxa"/>
        <w:tblInd w:w="137" w:type="dxa"/>
        <w:tblLayout w:type="fixed"/>
        <w:tblLook w:val="04A0" w:firstRow="1" w:lastRow="0" w:firstColumn="1" w:lastColumn="0" w:noHBand="0" w:noVBand="1"/>
      </w:tblPr>
      <w:tblGrid>
        <w:gridCol w:w="425"/>
        <w:gridCol w:w="2977"/>
        <w:gridCol w:w="5482"/>
        <w:gridCol w:w="4724"/>
        <w:gridCol w:w="1843"/>
      </w:tblGrid>
      <w:tr w:rsidR="004C6315" w:rsidRPr="004C6315" w14:paraId="0FA52B09" w14:textId="77777777" w:rsidTr="004C6315">
        <w:trPr>
          <w:tblHeader/>
        </w:trPr>
        <w:tc>
          <w:tcPr>
            <w:tcW w:w="425" w:type="dxa"/>
          </w:tcPr>
          <w:p w14:paraId="10CA554D" w14:textId="0CF53412" w:rsidR="00D91797" w:rsidRPr="004C6315" w:rsidRDefault="00D91797" w:rsidP="00D91797">
            <w:pPr>
              <w:rPr>
                <w:rFonts w:ascii="Times New Roman" w:hAnsi="Times New Roman" w:cs="Times New Roman"/>
                <w:sz w:val="16"/>
                <w:szCs w:val="16"/>
              </w:rPr>
            </w:pPr>
            <w:r w:rsidRPr="004C6315">
              <w:rPr>
                <w:rFonts w:ascii="Times New Roman" w:hAnsi="Times New Roman" w:cs="Times New Roman"/>
                <w:b/>
                <w:i/>
                <w:sz w:val="16"/>
                <w:szCs w:val="16"/>
              </w:rPr>
              <w:t>№</w:t>
            </w:r>
          </w:p>
        </w:tc>
        <w:tc>
          <w:tcPr>
            <w:tcW w:w="2977" w:type="dxa"/>
            <w:vAlign w:val="center"/>
          </w:tcPr>
          <w:p w14:paraId="3D37287D" w14:textId="53B66E69" w:rsidR="00D91797" w:rsidRPr="004C6315" w:rsidRDefault="00D91797" w:rsidP="00D91797">
            <w:pPr>
              <w:ind w:left="34"/>
              <w:jc w:val="center"/>
              <w:rPr>
                <w:rFonts w:ascii="Times New Roman" w:hAnsi="Times New Roman" w:cs="Times New Roman"/>
                <w:sz w:val="16"/>
                <w:szCs w:val="16"/>
              </w:rPr>
            </w:pPr>
            <w:r w:rsidRPr="004C6315">
              <w:rPr>
                <w:rFonts w:ascii="Times New Roman" w:hAnsi="Times New Roman" w:cs="Times New Roman"/>
                <w:b/>
                <w:i/>
                <w:sz w:val="16"/>
                <w:szCs w:val="16"/>
              </w:rPr>
              <w:t>Документ</w:t>
            </w:r>
          </w:p>
        </w:tc>
        <w:tc>
          <w:tcPr>
            <w:tcW w:w="5482" w:type="dxa"/>
            <w:vAlign w:val="center"/>
          </w:tcPr>
          <w:p w14:paraId="08192220" w14:textId="0F44D4FC" w:rsidR="00D91797" w:rsidRPr="004C6315" w:rsidRDefault="00D91797" w:rsidP="00D91797">
            <w:pPr>
              <w:jc w:val="center"/>
              <w:rPr>
                <w:rFonts w:ascii="Times New Roman" w:hAnsi="Times New Roman" w:cs="Times New Roman"/>
                <w:sz w:val="16"/>
                <w:szCs w:val="16"/>
                <w:lang w:val="en-US"/>
              </w:rPr>
            </w:pPr>
            <w:r w:rsidRPr="004C6315">
              <w:rPr>
                <w:rFonts w:ascii="Times New Roman" w:hAnsi="Times New Roman" w:cs="Times New Roman"/>
                <w:b/>
                <w:i/>
                <w:sz w:val="16"/>
                <w:szCs w:val="16"/>
              </w:rPr>
              <w:t>Путь (xpath)</w:t>
            </w:r>
          </w:p>
        </w:tc>
        <w:tc>
          <w:tcPr>
            <w:tcW w:w="4724" w:type="dxa"/>
            <w:vAlign w:val="center"/>
          </w:tcPr>
          <w:p w14:paraId="473EC984" w14:textId="5EAB891C" w:rsidR="00D91797" w:rsidRPr="004C6315" w:rsidRDefault="00D91797" w:rsidP="00D91797">
            <w:pPr>
              <w:jc w:val="center"/>
              <w:rPr>
                <w:rFonts w:ascii="Times New Roman" w:eastAsia="Calibri" w:hAnsi="Times New Roman" w:cs="Times New Roman"/>
                <w:b/>
                <w:bCs/>
                <w:sz w:val="16"/>
                <w:szCs w:val="16"/>
              </w:rPr>
            </w:pPr>
            <w:r w:rsidRPr="004C6315">
              <w:rPr>
                <w:rFonts w:ascii="Times New Roman" w:hAnsi="Times New Roman" w:cs="Times New Roman"/>
                <w:b/>
                <w:i/>
                <w:sz w:val="16"/>
                <w:szCs w:val="16"/>
              </w:rPr>
              <w:t>Пояснение НРД</w:t>
            </w:r>
          </w:p>
        </w:tc>
        <w:tc>
          <w:tcPr>
            <w:tcW w:w="1843" w:type="dxa"/>
            <w:vAlign w:val="center"/>
          </w:tcPr>
          <w:p w14:paraId="4EC5A704" w14:textId="75B7CE89" w:rsidR="00D91797" w:rsidRPr="004C6315" w:rsidRDefault="00D91797" w:rsidP="00D91797">
            <w:pPr>
              <w:jc w:val="center"/>
              <w:rPr>
                <w:rFonts w:ascii="Times New Roman" w:hAnsi="Times New Roman" w:cs="Times New Roman"/>
                <w:sz w:val="16"/>
                <w:szCs w:val="16"/>
              </w:rPr>
            </w:pPr>
            <w:r w:rsidRPr="004C6315">
              <w:rPr>
                <w:rFonts w:ascii="Times New Roman" w:hAnsi="Times New Roman" w:cs="Times New Roman"/>
                <w:b/>
                <w:i/>
                <w:sz w:val="16"/>
                <w:szCs w:val="16"/>
              </w:rPr>
              <w:t>Тип изменений</w:t>
            </w:r>
          </w:p>
        </w:tc>
      </w:tr>
      <w:tr w:rsidR="004C6315" w:rsidRPr="004C6315" w14:paraId="770C92DB" w14:textId="77777777" w:rsidTr="00D91797">
        <w:tc>
          <w:tcPr>
            <w:tcW w:w="425" w:type="dxa"/>
          </w:tcPr>
          <w:p w14:paraId="238EF633" w14:textId="06021822" w:rsidR="004C6315" w:rsidRPr="004C6315" w:rsidRDefault="004C6315" w:rsidP="004C6315">
            <w:pPr>
              <w:ind w:left="34"/>
              <w:rPr>
                <w:rFonts w:ascii="Times New Roman" w:hAnsi="Times New Roman" w:cs="Times New Roman"/>
                <w:sz w:val="20"/>
                <w:szCs w:val="20"/>
              </w:rPr>
            </w:pPr>
            <w:r w:rsidRPr="004C6315">
              <w:rPr>
                <w:rFonts w:ascii="Times New Roman" w:hAnsi="Times New Roman" w:cs="Times New Roman"/>
                <w:sz w:val="20"/>
                <w:szCs w:val="20"/>
              </w:rPr>
              <w:t>1</w:t>
            </w:r>
          </w:p>
        </w:tc>
        <w:tc>
          <w:tcPr>
            <w:tcW w:w="2977" w:type="dxa"/>
          </w:tcPr>
          <w:p w14:paraId="3E87BFAB" w14:textId="276EDE75" w:rsidR="004C6315" w:rsidRPr="004C6315" w:rsidRDefault="004C6315" w:rsidP="004C6315">
            <w:pPr>
              <w:ind w:left="34"/>
              <w:rPr>
                <w:rFonts w:ascii="Times New Roman" w:hAnsi="Times New Roman" w:cs="Times New Roman"/>
                <w:sz w:val="20"/>
                <w:szCs w:val="20"/>
              </w:rPr>
            </w:pPr>
            <w:r w:rsidRPr="004C6315">
              <w:rPr>
                <w:rFonts w:ascii="Times New Roman" w:hAnsi="Times New Roman" w:cs="Times New Roman"/>
                <w:sz w:val="20"/>
                <w:szCs w:val="20"/>
              </w:rPr>
              <w:t>Сообщение об отмене корпоративного действия / CorporateActionCancellationAdvice (seev.039.001.04)</w:t>
            </w:r>
          </w:p>
        </w:tc>
        <w:tc>
          <w:tcPr>
            <w:tcW w:w="5482" w:type="dxa"/>
          </w:tcPr>
          <w:p w14:paraId="78D0E559" w14:textId="67ECFD4C" w:rsidR="004C6315" w:rsidRPr="004C6315" w:rsidRDefault="004C6315" w:rsidP="004C6315">
            <w:pPr>
              <w:rPr>
                <w:rFonts w:ascii="Times New Roman" w:hAnsi="Times New Roman" w:cs="Times New Roman"/>
                <w:sz w:val="20"/>
                <w:szCs w:val="20"/>
                <w:lang w:val="en-US"/>
              </w:rPr>
            </w:pPr>
            <w:r w:rsidRPr="004C6315">
              <w:rPr>
                <w:rFonts w:ascii="Times New Roman" w:eastAsia="Calibri" w:hAnsi="Times New Roman" w:cs="Times New Roman"/>
                <w:snapToGrid w:val="0"/>
                <w:sz w:val="20"/>
                <w:szCs w:val="20"/>
                <w:lang w:val="en-US"/>
              </w:rPr>
              <w:t>CorporateActionCancellationAdvice/Document/CorpActnCxlAdvc/SplmtryData/Envlp/XtnsnDt/PrhbtnTrnsfrInf</w:t>
            </w:r>
          </w:p>
        </w:tc>
        <w:tc>
          <w:tcPr>
            <w:tcW w:w="4724" w:type="dxa"/>
          </w:tcPr>
          <w:p w14:paraId="60A7867F" w14:textId="77777777" w:rsidR="004C6315" w:rsidRPr="004C6315" w:rsidRDefault="004C6315" w:rsidP="004C6315">
            <w:pPr>
              <w:rPr>
                <w:rFonts w:ascii="Times New Roman" w:eastAsia="Calibri" w:hAnsi="Times New Roman" w:cs="Times New Roman"/>
                <w:b/>
                <w:bCs/>
                <w:sz w:val="20"/>
                <w:szCs w:val="20"/>
              </w:rPr>
            </w:pPr>
            <w:r w:rsidRPr="004C6315">
              <w:rPr>
                <w:rFonts w:ascii="Times New Roman" w:eastAsia="Calibri" w:hAnsi="Times New Roman" w:cs="Times New Roman"/>
                <w:b/>
                <w:bCs/>
                <w:sz w:val="20"/>
                <w:szCs w:val="20"/>
              </w:rPr>
              <w:t>Было:</w:t>
            </w:r>
          </w:p>
          <w:p w14:paraId="15DFA675" w14:textId="77777777" w:rsidR="004C6315" w:rsidRPr="004C6315" w:rsidRDefault="004C6315" w:rsidP="004C6315">
            <w:pPr>
              <w:rPr>
                <w:rFonts w:ascii="Times New Roman" w:eastAsia="Calibri" w:hAnsi="Times New Roman" w:cs="Times New Roman"/>
                <w:bCs/>
                <w:sz w:val="20"/>
                <w:szCs w:val="20"/>
              </w:rPr>
            </w:pPr>
            <w:r w:rsidRPr="004C6315">
              <w:rPr>
                <w:rFonts w:ascii="Times New Roman" w:eastAsia="Calibri" w:hAnsi="Times New Roman" w:cs="Times New Roman"/>
                <w:b/>
                <w:bCs/>
                <w:sz w:val="20"/>
                <w:szCs w:val="20"/>
              </w:rPr>
              <w:t>Название</w:t>
            </w:r>
            <w:r w:rsidRPr="004C6315">
              <w:rPr>
                <w:rFonts w:ascii="Times New Roman" w:eastAsia="Calibri" w:hAnsi="Times New Roman" w:cs="Times New Roman"/>
                <w:bCs/>
                <w:sz w:val="20"/>
                <w:szCs w:val="20"/>
              </w:rPr>
              <w:t>: «Ограничение на предоставление информации неограниченному кругу лиц»</w:t>
            </w:r>
          </w:p>
          <w:p w14:paraId="400194B2" w14:textId="77777777" w:rsidR="004C6315" w:rsidRPr="004C6315" w:rsidRDefault="004C6315" w:rsidP="004C6315">
            <w:pPr>
              <w:rPr>
                <w:rFonts w:ascii="Times New Roman" w:eastAsia="Calibri" w:hAnsi="Times New Roman" w:cs="Times New Roman"/>
                <w:bCs/>
                <w:sz w:val="20"/>
                <w:szCs w:val="20"/>
              </w:rPr>
            </w:pPr>
            <w:r w:rsidRPr="004C6315">
              <w:rPr>
                <w:rFonts w:ascii="Times New Roman" w:eastAsia="Calibri" w:hAnsi="Times New Roman" w:cs="Times New Roman"/>
                <w:b/>
                <w:bCs/>
                <w:sz w:val="20"/>
                <w:szCs w:val="20"/>
              </w:rPr>
              <w:t>Пояснение</w:t>
            </w:r>
            <w:r w:rsidRPr="004C6315">
              <w:rPr>
                <w:rFonts w:ascii="Times New Roman" w:eastAsia="Calibri" w:hAnsi="Times New Roman" w:cs="Times New Roman"/>
                <w:bCs/>
                <w:sz w:val="20"/>
                <w:szCs w:val="20"/>
              </w:rPr>
              <w:t>: «Показывает, возможно ли предоставление данной информации в открытом доступе, т.е. предоставление информации неограниченному кругу лиц. Если значение установлено true, то информация предназначена только для владельцев, имеющих право на ее получение. Если признак отсутствует или установлен false то передача информации считается разрешенной.»</w:t>
            </w:r>
          </w:p>
          <w:p w14:paraId="17B2415D" w14:textId="77777777" w:rsidR="004C6315" w:rsidRPr="004C6315" w:rsidRDefault="004C6315" w:rsidP="004C6315">
            <w:pPr>
              <w:rPr>
                <w:rFonts w:ascii="Times New Roman" w:eastAsia="Calibri" w:hAnsi="Times New Roman" w:cs="Times New Roman"/>
                <w:bCs/>
                <w:sz w:val="20"/>
                <w:szCs w:val="20"/>
              </w:rPr>
            </w:pPr>
            <w:r w:rsidRPr="004C6315">
              <w:rPr>
                <w:rFonts w:ascii="Times New Roman" w:eastAsia="Calibri" w:hAnsi="Times New Roman" w:cs="Times New Roman"/>
                <w:b/>
                <w:bCs/>
                <w:sz w:val="20"/>
                <w:szCs w:val="20"/>
              </w:rPr>
              <w:t>Ограничение</w:t>
            </w:r>
            <w:r w:rsidRPr="004C6315">
              <w:rPr>
                <w:rFonts w:ascii="Times New Roman" w:eastAsia="Calibri" w:hAnsi="Times New Roman" w:cs="Times New Roman"/>
                <w:bCs/>
                <w:sz w:val="20"/>
                <w:szCs w:val="20"/>
              </w:rPr>
              <w:t>: «НРД  игнорирует обработку этого поля во входящих сообщениях.»</w:t>
            </w:r>
          </w:p>
          <w:p w14:paraId="2C825850" w14:textId="77777777" w:rsidR="004C6315" w:rsidRPr="004C6315" w:rsidRDefault="004C6315" w:rsidP="004C6315">
            <w:pPr>
              <w:rPr>
                <w:rFonts w:ascii="Times New Roman" w:eastAsia="Calibri" w:hAnsi="Times New Roman" w:cs="Times New Roman"/>
                <w:b/>
                <w:bCs/>
                <w:sz w:val="20"/>
                <w:szCs w:val="20"/>
              </w:rPr>
            </w:pPr>
          </w:p>
          <w:p w14:paraId="1F82D280" w14:textId="77777777" w:rsidR="004C6315" w:rsidRPr="004C6315" w:rsidRDefault="004C6315" w:rsidP="004C6315">
            <w:pPr>
              <w:rPr>
                <w:rFonts w:ascii="Times New Roman" w:eastAsia="Calibri" w:hAnsi="Times New Roman" w:cs="Times New Roman"/>
                <w:b/>
                <w:bCs/>
                <w:sz w:val="20"/>
                <w:szCs w:val="20"/>
              </w:rPr>
            </w:pPr>
            <w:r w:rsidRPr="004C6315">
              <w:rPr>
                <w:rFonts w:ascii="Times New Roman" w:eastAsia="Calibri" w:hAnsi="Times New Roman" w:cs="Times New Roman"/>
                <w:b/>
                <w:bCs/>
                <w:sz w:val="20"/>
                <w:szCs w:val="20"/>
              </w:rPr>
              <w:t>Стало:</w:t>
            </w:r>
          </w:p>
          <w:p w14:paraId="78D23F61" w14:textId="77777777" w:rsidR="004C6315" w:rsidRPr="004C6315" w:rsidRDefault="004C6315" w:rsidP="004C6315">
            <w:pPr>
              <w:rPr>
                <w:rFonts w:ascii="Times New Roman" w:eastAsia="Calibri" w:hAnsi="Times New Roman" w:cs="Times New Roman"/>
                <w:bCs/>
                <w:sz w:val="20"/>
                <w:szCs w:val="20"/>
              </w:rPr>
            </w:pPr>
            <w:r w:rsidRPr="004C6315">
              <w:rPr>
                <w:rFonts w:ascii="Times New Roman" w:eastAsia="Calibri" w:hAnsi="Times New Roman" w:cs="Times New Roman"/>
                <w:b/>
                <w:bCs/>
                <w:sz w:val="20"/>
                <w:szCs w:val="20"/>
              </w:rPr>
              <w:t>Название</w:t>
            </w:r>
            <w:r w:rsidRPr="004C6315">
              <w:rPr>
                <w:rFonts w:ascii="Times New Roman" w:eastAsia="Calibri" w:hAnsi="Times New Roman" w:cs="Times New Roman"/>
                <w:bCs/>
                <w:sz w:val="20"/>
                <w:szCs w:val="20"/>
              </w:rPr>
              <w:t>: «Информация, не подлежащая раскрытию неограниченному кругу лиц »</w:t>
            </w:r>
          </w:p>
          <w:p w14:paraId="00FB8C8F" w14:textId="34D665FF" w:rsidR="004C6315" w:rsidRPr="004C6315" w:rsidRDefault="004C6315" w:rsidP="004C6315">
            <w:pPr>
              <w:rPr>
                <w:rFonts w:ascii="Times New Roman" w:hAnsi="Times New Roman" w:cs="Times New Roman"/>
                <w:sz w:val="20"/>
                <w:szCs w:val="20"/>
              </w:rPr>
            </w:pPr>
            <w:r w:rsidRPr="004C6315">
              <w:rPr>
                <w:rFonts w:ascii="Times New Roman" w:eastAsia="Calibri" w:hAnsi="Times New Roman" w:cs="Times New Roman"/>
                <w:b/>
                <w:bCs/>
                <w:sz w:val="20"/>
                <w:szCs w:val="20"/>
              </w:rPr>
              <w:t>Пояснение</w:t>
            </w:r>
            <w:r w:rsidRPr="004C6315">
              <w:rPr>
                <w:rFonts w:ascii="Times New Roman" w:eastAsia="Calibri" w:hAnsi="Times New Roman" w:cs="Times New Roman"/>
                <w:bCs/>
                <w:sz w:val="20"/>
                <w:szCs w:val="20"/>
              </w:rPr>
              <w:t>: «Признак показывает, возможно ли предоставление информации, содержащейся в данном КД, неограниченному кругу лиц, т.е. ее размещение в открытом доступе. Если значение установлено true, то информация предназначена только для владельцев ценных бумаг, имеющих право на получение информации о данном КД, без возможности размещения ее в открытом доступе. Если признак отсутствует или установлен false, то предоставление информации о КД неограниченному кругу лиц допустимо.»</w:t>
            </w:r>
          </w:p>
        </w:tc>
        <w:tc>
          <w:tcPr>
            <w:tcW w:w="1843" w:type="dxa"/>
          </w:tcPr>
          <w:p w14:paraId="4D4BFBED" w14:textId="78453665" w:rsidR="004C6315" w:rsidRPr="004C6315" w:rsidRDefault="004C6315" w:rsidP="004C6315">
            <w:pPr>
              <w:rPr>
                <w:rFonts w:ascii="Times New Roman" w:hAnsi="Times New Roman" w:cs="Times New Roman"/>
                <w:sz w:val="20"/>
                <w:szCs w:val="20"/>
              </w:rPr>
            </w:pPr>
            <w:r w:rsidRPr="004C6315">
              <w:rPr>
                <w:rFonts w:ascii="Times New Roman" w:hAnsi="Times New Roman" w:cs="Times New Roman"/>
                <w:sz w:val="20"/>
                <w:szCs w:val="20"/>
              </w:rPr>
              <w:t>Новая редакция</w:t>
            </w:r>
          </w:p>
        </w:tc>
      </w:tr>
      <w:tr w:rsidR="004C6315" w:rsidRPr="004C6315" w14:paraId="64E1ACA3" w14:textId="77777777" w:rsidTr="00D91797">
        <w:tc>
          <w:tcPr>
            <w:tcW w:w="425" w:type="dxa"/>
          </w:tcPr>
          <w:p w14:paraId="10155074" w14:textId="515CFDC4" w:rsidR="004C6315" w:rsidRPr="004C6315" w:rsidRDefault="004C6315" w:rsidP="004C6315">
            <w:pPr>
              <w:ind w:left="34"/>
              <w:rPr>
                <w:rFonts w:ascii="Times New Roman" w:hAnsi="Times New Roman" w:cs="Times New Roman"/>
                <w:sz w:val="20"/>
                <w:szCs w:val="20"/>
              </w:rPr>
            </w:pPr>
            <w:r w:rsidRPr="004C6315">
              <w:rPr>
                <w:rFonts w:ascii="Times New Roman" w:hAnsi="Times New Roman" w:cs="Times New Roman"/>
                <w:sz w:val="20"/>
                <w:szCs w:val="20"/>
              </w:rPr>
              <w:t>2</w:t>
            </w:r>
          </w:p>
        </w:tc>
        <w:tc>
          <w:tcPr>
            <w:tcW w:w="2977" w:type="dxa"/>
          </w:tcPr>
          <w:p w14:paraId="1CBC3D99" w14:textId="4E4A94DC" w:rsidR="004C6315" w:rsidRPr="004C6315" w:rsidRDefault="004C6315" w:rsidP="004C6315">
            <w:pPr>
              <w:ind w:left="34"/>
              <w:rPr>
                <w:rFonts w:ascii="Times New Roman" w:hAnsi="Times New Roman" w:cs="Times New Roman"/>
                <w:sz w:val="20"/>
                <w:szCs w:val="20"/>
              </w:rPr>
            </w:pPr>
            <w:r w:rsidRPr="004C6315">
              <w:rPr>
                <w:rFonts w:ascii="Times New Roman" w:hAnsi="Times New Roman" w:cs="Times New Roman"/>
                <w:sz w:val="20"/>
                <w:szCs w:val="20"/>
              </w:rPr>
              <w:t xml:space="preserve">Сообщение о корпоративном действии в свободном тексте / </w:t>
            </w:r>
            <w:r w:rsidRPr="004C6315">
              <w:rPr>
                <w:rFonts w:ascii="Times New Roman" w:hAnsi="Times New Roman" w:cs="Times New Roman"/>
                <w:sz w:val="20"/>
                <w:szCs w:val="20"/>
              </w:rPr>
              <w:lastRenderedPageBreak/>
              <w:t>CorporateActionNarrative (seev.038.001.03)</w:t>
            </w:r>
          </w:p>
        </w:tc>
        <w:tc>
          <w:tcPr>
            <w:tcW w:w="5482" w:type="dxa"/>
          </w:tcPr>
          <w:p w14:paraId="7C93C6AF" w14:textId="1E3D8C79" w:rsidR="004C6315" w:rsidRPr="004C6315" w:rsidRDefault="004C6315" w:rsidP="004C6315">
            <w:pPr>
              <w:rPr>
                <w:rFonts w:ascii="Times New Roman" w:hAnsi="Times New Roman" w:cs="Times New Roman"/>
                <w:sz w:val="20"/>
                <w:szCs w:val="20"/>
                <w:lang w:val="en-US"/>
              </w:rPr>
            </w:pPr>
            <w:r w:rsidRPr="004C6315">
              <w:rPr>
                <w:rFonts w:ascii="Times New Roman" w:hAnsi="Times New Roman" w:cs="Times New Roman"/>
                <w:sz w:val="20"/>
                <w:szCs w:val="20"/>
                <w:lang w:val="en-US"/>
              </w:rPr>
              <w:lastRenderedPageBreak/>
              <w:t>CorporateActionNarrative/Document/CorpActnNrrtv/SplmtryData/Envlp/XtnsnDt/PrhbtnTrnsfrInf</w:t>
            </w:r>
          </w:p>
        </w:tc>
        <w:tc>
          <w:tcPr>
            <w:tcW w:w="4724" w:type="dxa"/>
          </w:tcPr>
          <w:p w14:paraId="3A42BB8C" w14:textId="77777777" w:rsidR="004C6315" w:rsidRPr="004C6315" w:rsidRDefault="004C6315" w:rsidP="004C6315">
            <w:pPr>
              <w:rPr>
                <w:rFonts w:ascii="Times New Roman" w:eastAsia="Calibri" w:hAnsi="Times New Roman" w:cs="Times New Roman"/>
                <w:b/>
                <w:bCs/>
                <w:sz w:val="20"/>
                <w:szCs w:val="20"/>
              </w:rPr>
            </w:pPr>
            <w:r w:rsidRPr="004C6315">
              <w:rPr>
                <w:rFonts w:ascii="Times New Roman" w:eastAsia="Calibri" w:hAnsi="Times New Roman" w:cs="Times New Roman"/>
                <w:b/>
                <w:bCs/>
                <w:sz w:val="20"/>
                <w:szCs w:val="20"/>
              </w:rPr>
              <w:t>Было:</w:t>
            </w:r>
          </w:p>
          <w:p w14:paraId="2D21CF8A" w14:textId="77777777" w:rsidR="004C6315" w:rsidRPr="004C6315" w:rsidRDefault="004C6315" w:rsidP="004C6315">
            <w:pPr>
              <w:rPr>
                <w:rFonts w:ascii="Times New Roman" w:eastAsia="Calibri" w:hAnsi="Times New Roman" w:cs="Times New Roman"/>
                <w:bCs/>
                <w:sz w:val="20"/>
                <w:szCs w:val="20"/>
              </w:rPr>
            </w:pPr>
            <w:r w:rsidRPr="004C6315">
              <w:rPr>
                <w:rFonts w:ascii="Times New Roman" w:eastAsia="Calibri" w:hAnsi="Times New Roman" w:cs="Times New Roman"/>
                <w:b/>
                <w:bCs/>
                <w:sz w:val="20"/>
                <w:szCs w:val="20"/>
              </w:rPr>
              <w:t>Название</w:t>
            </w:r>
            <w:r w:rsidRPr="004C6315">
              <w:rPr>
                <w:rFonts w:ascii="Times New Roman" w:eastAsia="Calibri" w:hAnsi="Times New Roman" w:cs="Times New Roman"/>
                <w:bCs/>
                <w:sz w:val="20"/>
                <w:szCs w:val="20"/>
              </w:rPr>
              <w:t>: «Ограничение на предоставление информации неограниченному кругу лиц»</w:t>
            </w:r>
          </w:p>
          <w:p w14:paraId="0523A745" w14:textId="77777777" w:rsidR="004C6315" w:rsidRPr="004C6315" w:rsidRDefault="004C6315" w:rsidP="004C6315">
            <w:pPr>
              <w:rPr>
                <w:rFonts w:ascii="Times New Roman" w:eastAsia="Calibri" w:hAnsi="Times New Roman" w:cs="Times New Roman"/>
                <w:bCs/>
                <w:sz w:val="20"/>
                <w:szCs w:val="20"/>
              </w:rPr>
            </w:pPr>
            <w:r w:rsidRPr="004C6315">
              <w:rPr>
                <w:rFonts w:ascii="Times New Roman" w:eastAsia="Calibri" w:hAnsi="Times New Roman" w:cs="Times New Roman"/>
                <w:b/>
                <w:bCs/>
                <w:sz w:val="20"/>
                <w:szCs w:val="20"/>
              </w:rPr>
              <w:lastRenderedPageBreak/>
              <w:t>Пояснение</w:t>
            </w:r>
            <w:r w:rsidRPr="004C6315">
              <w:rPr>
                <w:rFonts w:ascii="Times New Roman" w:eastAsia="Calibri" w:hAnsi="Times New Roman" w:cs="Times New Roman"/>
                <w:bCs/>
                <w:sz w:val="20"/>
                <w:szCs w:val="20"/>
              </w:rPr>
              <w:t>: «Показывает, возможно ли предоставление данной информации в открытом доступе, т.е. предоставление информации неограниченному кругу лиц. Если значение установлено true, то информация предназначена только для владельцев, имеющих право на ее получение. Если признак отсутствует или установлен false то передача информации считается разрешенной.»</w:t>
            </w:r>
          </w:p>
          <w:p w14:paraId="43D4B624" w14:textId="77777777" w:rsidR="004C6315" w:rsidRPr="004C6315" w:rsidRDefault="004C6315" w:rsidP="004C6315">
            <w:pPr>
              <w:rPr>
                <w:rFonts w:ascii="Times New Roman" w:eastAsia="Calibri" w:hAnsi="Times New Roman" w:cs="Times New Roman"/>
                <w:bCs/>
                <w:sz w:val="20"/>
                <w:szCs w:val="20"/>
              </w:rPr>
            </w:pPr>
            <w:r w:rsidRPr="004C6315">
              <w:rPr>
                <w:rFonts w:ascii="Times New Roman" w:eastAsia="Calibri" w:hAnsi="Times New Roman" w:cs="Times New Roman"/>
                <w:b/>
                <w:bCs/>
                <w:sz w:val="20"/>
                <w:szCs w:val="20"/>
              </w:rPr>
              <w:t>Ограничение</w:t>
            </w:r>
            <w:r w:rsidRPr="004C6315">
              <w:rPr>
                <w:rFonts w:ascii="Times New Roman" w:eastAsia="Calibri" w:hAnsi="Times New Roman" w:cs="Times New Roman"/>
                <w:bCs/>
                <w:sz w:val="20"/>
                <w:szCs w:val="20"/>
              </w:rPr>
              <w:t>: «НРД  игнорирует обработку этого поля во входящих сообщениях.»</w:t>
            </w:r>
          </w:p>
          <w:p w14:paraId="525C6622" w14:textId="77777777" w:rsidR="004C6315" w:rsidRPr="004C6315" w:rsidRDefault="004C6315" w:rsidP="004C6315">
            <w:pPr>
              <w:rPr>
                <w:rFonts w:ascii="Times New Roman" w:eastAsia="Calibri" w:hAnsi="Times New Roman" w:cs="Times New Roman"/>
                <w:b/>
                <w:bCs/>
                <w:sz w:val="20"/>
                <w:szCs w:val="20"/>
              </w:rPr>
            </w:pPr>
          </w:p>
          <w:p w14:paraId="3DC70523" w14:textId="77777777" w:rsidR="004C6315" w:rsidRPr="004C6315" w:rsidRDefault="004C6315" w:rsidP="004C6315">
            <w:pPr>
              <w:rPr>
                <w:rFonts w:ascii="Times New Roman" w:eastAsia="Calibri" w:hAnsi="Times New Roman" w:cs="Times New Roman"/>
                <w:b/>
                <w:bCs/>
                <w:sz w:val="20"/>
                <w:szCs w:val="20"/>
              </w:rPr>
            </w:pPr>
            <w:r w:rsidRPr="004C6315">
              <w:rPr>
                <w:rFonts w:ascii="Times New Roman" w:eastAsia="Calibri" w:hAnsi="Times New Roman" w:cs="Times New Roman"/>
                <w:b/>
                <w:bCs/>
                <w:sz w:val="20"/>
                <w:szCs w:val="20"/>
              </w:rPr>
              <w:t>Стало:</w:t>
            </w:r>
          </w:p>
          <w:p w14:paraId="171CE0F1" w14:textId="77777777" w:rsidR="004C6315" w:rsidRPr="004C6315" w:rsidRDefault="004C6315" w:rsidP="004C6315">
            <w:pPr>
              <w:rPr>
                <w:rFonts w:ascii="Times New Roman" w:eastAsia="Calibri" w:hAnsi="Times New Roman" w:cs="Times New Roman"/>
                <w:bCs/>
                <w:sz w:val="20"/>
                <w:szCs w:val="20"/>
              </w:rPr>
            </w:pPr>
            <w:r w:rsidRPr="004C6315">
              <w:rPr>
                <w:rFonts w:ascii="Times New Roman" w:eastAsia="Calibri" w:hAnsi="Times New Roman" w:cs="Times New Roman"/>
                <w:b/>
                <w:bCs/>
                <w:sz w:val="20"/>
                <w:szCs w:val="20"/>
              </w:rPr>
              <w:t>Название</w:t>
            </w:r>
            <w:r w:rsidRPr="004C6315">
              <w:rPr>
                <w:rFonts w:ascii="Times New Roman" w:eastAsia="Calibri" w:hAnsi="Times New Roman" w:cs="Times New Roman"/>
                <w:bCs/>
                <w:sz w:val="20"/>
                <w:szCs w:val="20"/>
              </w:rPr>
              <w:t>: «Информация, не подлежащая раскрытию неограниченному кругу лиц »</w:t>
            </w:r>
          </w:p>
          <w:p w14:paraId="4C3A18F1" w14:textId="49EE2D21" w:rsidR="004C6315" w:rsidRPr="004C6315" w:rsidRDefault="004C6315" w:rsidP="004C6315">
            <w:pPr>
              <w:rPr>
                <w:rFonts w:ascii="Times New Roman" w:hAnsi="Times New Roman" w:cs="Times New Roman"/>
                <w:sz w:val="20"/>
                <w:szCs w:val="20"/>
              </w:rPr>
            </w:pPr>
            <w:r w:rsidRPr="004C6315">
              <w:rPr>
                <w:rFonts w:ascii="Times New Roman" w:eastAsia="Calibri" w:hAnsi="Times New Roman" w:cs="Times New Roman"/>
                <w:b/>
                <w:bCs/>
                <w:sz w:val="20"/>
                <w:szCs w:val="20"/>
              </w:rPr>
              <w:t>Пояснение</w:t>
            </w:r>
            <w:r w:rsidRPr="004C6315">
              <w:rPr>
                <w:rFonts w:ascii="Times New Roman" w:eastAsia="Calibri" w:hAnsi="Times New Roman" w:cs="Times New Roman"/>
                <w:bCs/>
                <w:sz w:val="20"/>
                <w:szCs w:val="20"/>
              </w:rPr>
              <w:t>: «Признак показывает, возможно ли предоставление информации, содержащейся в данном КД, неограниченному кругу лиц, т.е. ее размещение в открытом доступе. Если значение установлено true, то информация предназначена только для владельцев ценных бумаг, имеющих право на получение информации о данном КД, без возможности размещения ее в открытом доступе. Если признак отсутствует или установлен false, то предоставление информации о КД неограниченному кругу лиц допустимо.»</w:t>
            </w:r>
          </w:p>
        </w:tc>
        <w:tc>
          <w:tcPr>
            <w:tcW w:w="1843" w:type="dxa"/>
          </w:tcPr>
          <w:p w14:paraId="6BDBA8A5" w14:textId="3E5866EA" w:rsidR="004C6315" w:rsidRPr="004C6315" w:rsidRDefault="004C6315" w:rsidP="004C6315">
            <w:pPr>
              <w:rPr>
                <w:rFonts w:ascii="Times New Roman" w:hAnsi="Times New Roman" w:cs="Times New Roman"/>
                <w:sz w:val="20"/>
                <w:szCs w:val="20"/>
              </w:rPr>
            </w:pPr>
            <w:r w:rsidRPr="004C6315">
              <w:rPr>
                <w:rFonts w:ascii="Times New Roman" w:hAnsi="Times New Roman" w:cs="Times New Roman"/>
                <w:sz w:val="20"/>
                <w:szCs w:val="20"/>
              </w:rPr>
              <w:lastRenderedPageBreak/>
              <w:t>Новая редакция</w:t>
            </w:r>
          </w:p>
        </w:tc>
      </w:tr>
      <w:tr w:rsidR="004C6315" w:rsidRPr="004C6315" w14:paraId="5092A187" w14:textId="77777777" w:rsidTr="00D91797">
        <w:tc>
          <w:tcPr>
            <w:tcW w:w="425" w:type="dxa"/>
          </w:tcPr>
          <w:p w14:paraId="40A8DC3B" w14:textId="3F40B810" w:rsidR="004C6315" w:rsidRPr="004C6315" w:rsidRDefault="004C6315" w:rsidP="004C6315">
            <w:pPr>
              <w:ind w:left="34"/>
              <w:rPr>
                <w:rFonts w:ascii="Times New Roman" w:hAnsi="Times New Roman" w:cs="Times New Roman"/>
                <w:sz w:val="20"/>
                <w:szCs w:val="20"/>
              </w:rPr>
            </w:pPr>
            <w:r w:rsidRPr="004C6315">
              <w:rPr>
                <w:rFonts w:ascii="Times New Roman" w:hAnsi="Times New Roman" w:cs="Times New Roman"/>
                <w:sz w:val="20"/>
                <w:szCs w:val="20"/>
              </w:rPr>
              <w:t>3</w:t>
            </w:r>
          </w:p>
        </w:tc>
        <w:tc>
          <w:tcPr>
            <w:tcW w:w="2977" w:type="dxa"/>
          </w:tcPr>
          <w:p w14:paraId="2915964E" w14:textId="58490BAF" w:rsidR="004C6315" w:rsidRPr="004C6315" w:rsidRDefault="004C6315" w:rsidP="004C6315">
            <w:pPr>
              <w:ind w:left="34"/>
              <w:rPr>
                <w:rFonts w:ascii="Times New Roman" w:hAnsi="Times New Roman" w:cs="Times New Roman"/>
                <w:sz w:val="20"/>
                <w:szCs w:val="20"/>
              </w:rPr>
            </w:pPr>
            <w:r w:rsidRPr="004C6315">
              <w:rPr>
                <w:rFonts w:ascii="Times New Roman" w:hAnsi="Times New Roman" w:cs="Times New Roman"/>
                <w:sz w:val="20"/>
                <w:szCs w:val="20"/>
              </w:rPr>
              <w:t>Уведомление о корпоративном действии / CorporateActionNotification (seev.031.001.04)</w:t>
            </w:r>
          </w:p>
        </w:tc>
        <w:tc>
          <w:tcPr>
            <w:tcW w:w="5482" w:type="dxa"/>
          </w:tcPr>
          <w:p w14:paraId="3C340421" w14:textId="05522A05" w:rsidR="004C6315" w:rsidRPr="004C6315" w:rsidRDefault="004C6315" w:rsidP="004C6315">
            <w:pPr>
              <w:rPr>
                <w:rFonts w:ascii="Times New Roman" w:hAnsi="Times New Roman" w:cs="Times New Roman"/>
                <w:sz w:val="20"/>
                <w:szCs w:val="20"/>
                <w:lang w:val="en-US"/>
              </w:rPr>
            </w:pPr>
            <w:r w:rsidRPr="004C6315">
              <w:rPr>
                <w:rFonts w:ascii="Times New Roman" w:eastAsia="Times New Roman" w:hAnsi="Times New Roman" w:cs="Times New Roman"/>
                <w:snapToGrid w:val="0"/>
                <w:sz w:val="20"/>
                <w:szCs w:val="20"/>
                <w:lang w:val="en-US" w:eastAsia="ru-RU"/>
              </w:rPr>
              <w:t>CorporateActionNotification/Document/CorpActnNtfctn/SplmtryData/Envlp/XtnsnDt/PrhbtnTrnsfrInf</w:t>
            </w:r>
          </w:p>
        </w:tc>
        <w:tc>
          <w:tcPr>
            <w:tcW w:w="4724" w:type="dxa"/>
          </w:tcPr>
          <w:p w14:paraId="3C22B571" w14:textId="77777777" w:rsidR="004C6315" w:rsidRPr="004C6315" w:rsidRDefault="004C6315" w:rsidP="004C6315">
            <w:pPr>
              <w:rPr>
                <w:rFonts w:ascii="Times New Roman" w:eastAsia="Calibri" w:hAnsi="Times New Roman" w:cs="Times New Roman"/>
                <w:b/>
                <w:bCs/>
                <w:sz w:val="20"/>
                <w:szCs w:val="20"/>
              </w:rPr>
            </w:pPr>
            <w:r w:rsidRPr="004C6315">
              <w:rPr>
                <w:rFonts w:ascii="Times New Roman" w:eastAsia="Calibri" w:hAnsi="Times New Roman" w:cs="Times New Roman"/>
                <w:b/>
                <w:bCs/>
                <w:sz w:val="20"/>
                <w:szCs w:val="20"/>
              </w:rPr>
              <w:t>Было:</w:t>
            </w:r>
          </w:p>
          <w:p w14:paraId="1A978FA9" w14:textId="77777777" w:rsidR="004C6315" w:rsidRPr="004C6315" w:rsidRDefault="004C6315" w:rsidP="004C6315">
            <w:pPr>
              <w:rPr>
                <w:rFonts w:ascii="Times New Roman" w:eastAsia="Calibri" w:hAnsi="Times New Roman" w:cs="Times New Roman"/>
                <w:bCs/>
                <w:sz w:val="20"/>
                <w:szCs w:val="20"/>
              </w:rPr>
            </w:pPr>
            <w:r w:rsidRPr="004C6315">
              <w:rPr>
                <w:rFonts w:ascii="Times New Roman" w:eastAsia="Calibri" w:hAnsi="Times New Roman" w:cs="Times New Roman"/>
                <w:b/>
                <w:bCs/>
                <w:sz w:val="20"/>
                <w:szCs w:val="20"/>
              </w:rPr>
              <w:t>Название</w:t>
            </w:r>
            <w:r w:rsidRPr="004C6315">
              <w:rPr>
                <w:rFonts w:ascii="Times New Roman" w:eastAsia="Calibri" w:hAnsi="Times New Roman" w:cs="Times New Roman"/>
                <w:bCs/>
                <w:sz w:val="20"/>
                <w:szCs w:val="20"/>
              </w:rPr>
              <w:t>: «Ограничение на предоставление информации неограниченному кругу лиц»</w:t>
            </w:r>
          </w:p>
          <w:p w14:paraId="436F178B" w14:textId="77777777" w:rsidR="004C6315" w:rsidRPr="004C6315" w:rsidRDefault="004C6315" w:rsidP="004C6315">
            <w:pPr>
              <w:rPr>
                <w:rFonts w:ascii="Times New Roman" w:eastAsia="Calibri" w:hAnsi="Times New Roman" w:cs="Times New Roman"/>
                <w:bCs/>
                <w:sz w:val="20"/>
                <w:szCs w:val="20"/>
              </w:rPr>
            </w:pPr>
            <w:r w:rsidRPr="004C6315">
              <w:rPr>
                <w:rFonts w:ascii="Times New Roman" w:eastAsia="Calibri" w:hAnsi="Times New Roman" w:cs="Times New Roman"/>
                <w:b/>
                <w:bCs/>
                <w:sz w:val="20"/>
                <w:szCs w:val="20"/>
              </w:rPr>
              <w:t>Пояснение</w:t>
            </w:r>
            <w:r w:rsidRPr="004C6315">
              <w:rPr>
                <w:rFonts w:ascii="Times New Roman" w:eastAsia="Calibri" w:hAnsi="Times New Roman" w:cs="Times New Roman"/>
                <w:bCs/>
                <w:sz w:val="20"/>
                <w:szCs w:val="20"/>
              </w:rPr>
              <w:t>: «Показывает, возможно ли предоставление данной информации в открытом доступе, т.е. предоставление информации неограниченному кругу лиц. Если значение установлено true, то информация предназначена только для владельцев, имеющих право на ее получение. Если признак отсутствует или установлен false то передача информации считается разрешенной.»</w:t>
            </w:r>
          </w:p>
          <w:p w14:paraId="17E6FE79" w14:textId="77777777" w:rsidR="004C6315" w:rsidRPr="004C6315" w:rsidRDefault="004C6315" w:rsidP="004C6315">
            <w:pPr>
              <w:rPr>
                <w:rFonts w:ascii="Times New Roman" w:eastAsia="Calibri" w:hAnsi="Times New Roman" w:cs="Times New Roman"/>
                <w:bCs/>
                <w:sz w:val="20"/>
                <w:szCs w:val="20"/>
              </w:rPr>
            </w:pPr>
            <w:r w:rsidRPr="004C6315">
              <w:rPr>
                <w:rFonts w:ascii="Times New Roman" w:eastAsia="Calibri" w:hAnsi="Times New Roman" w:cs="Times New Roman"/>
                <w:b/>
                <w:bCs/>
                <w:sz w:val="20"/>
                <w:szCs w:val="20"/>
              </w:rPr>
              <w:t>Ограничение</w:t>
            </w:r>
            <w:r w:rsidRPr="004C6315">
              <w:rPr>
                <w:rFonts w:ascii="Times New Roman" w:eastAsia="Calibri" w:hAnsi="Times New Roman" w:cs="Times New Roman"/>
                <w:bCs/>
                <w:sz w:val="20"/>
                <w:szCs w:val="20"/>
              </w:rPr>
              <w:t>: «НРД  игнорирует обработку этого поля во входящих сообщениях.»</w:t>
            </w:r>
          </w:p>
          <w:p w14:paraId="13BD2CAB" w14:textId="77777777" w:rsidR="004C6315" w:rsidRPr="004C6315" w:rsidRDefault="004C6315" w:rsidP="004C6315">
            <w:pPr>
              <w:rPr>
                <w:rFonts w:ascii="Times New Roman" w:eastAsia="Calibri" w:hAnsi="Times New Roman" w:cs="Times New Roman"/>
                <w:b/>
                <w:bCs/>
                <w:sz w:val="20"/>
                <w:szCs w:val="20"/>
              </w:rPr>
            </w:pPr>
          </w:p>
          <w:p w14:paraId="5B676540" w14:textId="77777777" w:rsidR="004C6315" w:rsidRPr="004C6315" w:rsidRDefault="004C6315" w:rsidP="004C6315">
            <w:pPr>
              <w:rPr>
                <w:rFonts w:ascii="Times New Roman" w:eastAsia="Calibri" w:hAnsi="Times New Roman" w:cs="Times New Roman"/>
                <w:b/>
                <w:bCs/>
                <w:sz w:val="20"/>
                <w:szCs w:val="20"/>
              </w:rPr>
            </w:pPr>
            <w:r w:rsidRPr="004C6315">
              <w:rPr>
                <w:rFonts w:ascii="Times New Roman" w:eastAsia="Calibri" w:hAnsi="Times New Roman" w:cs="Times New Roman"/>
                <w:b/>
                <w:bCs/>
                <w:sz w:val="20"/>
                <w:szCs w:val="20"/>
              </w:rPr>
              <w:t>Стало:</w:t>
            </w:r>
          </w:p>
          <w:p w14:paraId="28A42CE1" w14:textId="77777777" w:rsidR="004C6315" w:rsidRPr="004C6315" w:rsidRDefault="004C6315" w:rsidP="004C6315">
            <w:pPr>
              <w:rPr>
                <w:rFonts w:ascii="Times New Roman" w:eastAsia="Calibri" w:hAnsi="Times New Roman" w:cs="Times New Roman"/>
                <w:bCs/>
                <w:sz w:val="20"/>
                <w:szCs w:val="20"/>
              </w:rPr>
            </w:pPr>
            <w:r w:rsidRPr="004C6315">
              <w:rPr>
                <w:rFonts w:ascii="Times New Roman" w:eastAsia="Calibri" w:hAnsi="Times New Roman" w:cs="Times New Roman"/>
                <w:b/>
                <w:bCs/>
                <w:sz w:val="20"/>
                <w:szCs w:val="20"/>
              </w:rPr>
              <w:t>Название</w:t>
            </w:r>
            <w:r w:rsidRPr="004C6315">
              <w:rPr>
                <w:rFonts w:ascii="Times New Roman" w:eastAsia="Calibri" w:hAnsi="Times New Roman" w:cs="Times New Roman"/>
                <w:bCs/>
                <w:sz w:val="20"/>
                <w:szCs w:val="20"/>
              </w:rPr>
              <w:t>: «Информация, не подлежащая раскрытию неограниченному кругу лиц »</w:t>
            </w:r>
          </w:p>
          <w:p w14:paraId="328F3F01" w14:textId="3D5A8B68" w:rsidR="004C6315" w:rsidRPr="004C6315" w:rsidRDefault="004C6315" w:rsidP="004C6315">
            <w:pPr>
              <w:rPr>
                <w:rFonts w:ascii="Times New Roman" w:hAnsi="Times New Roman" w:cs="Times New Roman"/>
                <w:sz w:val="20"/>
                <w:szCs w:val="20"/>
              </w:rPr>
            </w:pPr>
            <w:r w:rsidRPr="004C6315">
              <w:rPr>
                <w:rFonts w:ascii="Times New Roman" w:eastAsia="Calibri" w:hAnsi="Times New Roman" w:cs="Times New Roman"/>
                <w:b/>
                <w:bCs/>
                <w:sz w:val="20"/>
                <w:szCs w:val="20"/>
              </w:rPr>
              <w:t>Пояснение</w:t>
            </w:r>
            <w:r w:rsidRPr="004C6315">
              <w:rPr>
                <w:rFonts w:ascii="Times New Roman" w:eastAsia="Calibri" w:hAnsi="Times New Roman" w:cs="Times New Roman"/>
                <w:bCs/>
                <w:sz w:val="20"/>
                <w:szCs w:val="20"/>
              </w:rPr>
              <w:t>: «Признак показывает, возможно ли предоставление информации, содержащейся в данном КД, неограниченному кругу лиц, т.е. ее размещение в открытом доступе. Если значение установлено true, то информация предназначена только для владельцев ценных бумаг, имеющих право на получение информации о данном КД, без возможности размещения ее в открытом доступе. Если признак отсутствует или установлен false, то предоставление информации о КД неограниченному кругу лиц допустимо.»</w:t>
            </w:r>
          </w:p>
        </w:tc>
        <w:tc>
          <w:tcPr>
            <w:tcW w:w="1843" w:type="dxa"/>
          </w:tcPr>
          <w:p w14:paraId="3C70DB1C" w14:textId="6CD194A7" w:rsidR="004C6315" w:rsidRPr="004C6315" w:rsidRDefault="004C6315" w:rsidP="004C6315">
            <w:pPr>
              <w:rPr>
                <w:rFonts w:ascii="Times New Roman" w:hAnsi="Times New Roman" w:cs="Times New Roman"/>
                <w:sz w:val="20"/>
                <w:szCs w:val="20"/>
              </w:rPr>
            </w:pPr>
            <w:r w:rsidRPr="004C6315">
              <w:rPr>
                <w:rFonts w:ascii="Times New Roman" w:hAnsi="Times New Roman" w:cs="Times New Roman"/>
                <w:sz w:val="20"/>
                <w:szCs w:val="20"/>
              </w:rPr>
              <w:t>Новая редакция</w:t>
            </w:r>
          </w:p>
        </w:tc>
      </w:tr>
      <w:tr w:rsidR="004C6315" w:rsidRPr="004C6315" w14:paraId="68B8A8B7" w14:textId="77777777" w:rsidTr="00D91797">
        <w:tc>
          <w:tcPr>
            <w:tcW w:w="425" w:type="dxa"/>
          </w:tcPr>
          <w:p w14:paraId="244BA883" w14:textId="20237A62" w:rsidR="004C6315" w:rsidRPr="004C6315" w:rsidRDefault="004C6315" w:rsidP="004C6315">
            <w:pPr>
              <w:ind w:left="34"/>
              <w:rPr>
                <w:rFonts w:ascii="Times New Roman" w:hAnsi="Times New Roman" w:cs="Times New Roman"/>
                <w:sz w:val="20"/>
                <w:szCs w:val="20"/>
              </w:rPr>
            </w:pPr>
            <w:r w:rsidRPr="004C6315">
              <w:rPr>
                <w:rFonts w:ascii="Times New Roman" w:hAnsi="Times New Roman" w:cs="Times New Roman"/>
                <w:sz w:val="20"/>
                <w:szCs w:val="20"/>
              </w:rPr>
              <w:t>4</w:t>
            </w:r>
          </w:p>
        </w:tc>
        <w:tc>
          <w:tcPr>
            <w:tcW w:w="2977" w:type="dxa"/>
          </w:tcPr>
          <w:p w14:paraId="058C75B9" w14:textId="4EF379A9" w:rsidR="004C6315" w:rsidRPr="004C6315" w:rsidRDefault="004C6315" w:rsidP="004C6315">
            <w:pPr>
              <w:ind w:left="34"/>
              <w:rPr>
                <w:rFonts w:ascii="Times New Roman" w:hAnsi="Times New Roman" w:cs="Times New Roman"/>
                <w:sz w:val="20"/>
                <w:szCs w:val="20"/>
              </w:rPr>
            </w:pPr>
            <w:r w:rsidRPr="004C6315">
              <w:rPr>
                <w:rFonts w:ascii="Times New Roman" w:hAnsi="Times New Roman" w:cs="Times New Roman"/>
                <w:sz w:val="20"/>
                <w:szCs w:val="20"/>
              </w:rPr>
              <w:t xml:space="preserve">Сообщение об отмене собрания / </w:t>
            </w:r>
            <w:r w:rsidRPr="004C6315">
              <w:rPr>
                <w:rFonts w:ascii="Times New Roman" w:hAnsi="Times New Roman" w:cs="Times New Roman"/>
                <w:sz w:val="20"/>
                <w:szCs w:val="20"/>
                <w:lang w:val="en-US"/>
              </w:rPr>
              <w:t>MeetingCancellation</w:t>
            </w:r>
            <w:r w:rsidRPr="004C6315">
              <w:rPr>
                <w:rFonts w:ascii="Times New Roman" w:hAnsi="Times New Roman" w:cs="Times New Roman"/>
                <w:sz w:val="20"/>
                <w:szCs w:val="20"/>
              </w:rPr>
              <w:t xml:space="preserve"> (</w:t>
            </w:r>
            <w:r w:rsidRPr="004C6315">
              <w:rPr>
                <w:rFonts w:ascii="Times New Roman" w:hAnsi="Times New Roman" w:cs="Times New Roman"/>
                <w:sz w:val="20"/>
                <w:szCs w:val="20"/>
                <w:lang w:val="en-US"/>
              </w:rPr>
              <w:t>seev</w:t>
            </w:r>
            <w:r w:rsidRPr="004C6315">
              <w:rPr>
                <w:rFonts w:ascii="Times New Roman" w:hAnsi="Times New Roman" w:cs="Times New Roman"/>
                <w:sz w:val="20"/>
                <w:szCs w:val="20"/>
              </w:rPr>
              <w:t>.002.001.04)</w:t>
            </w:r>
          </w:p>
        </w:tc>
        <w:tc>
          <w:tcPr>
            <w:tcW w:w="5482" w:type="dxa"/>
          </w:tcPr>
          <w:p w14:paraId="788CDC4C" w14:textId="6D8F1E2F" w:rsidR="004C6315" w:rsidRPr="004C6315" w:rsidRDefault="004C6315" w:rsidP="004C6315">
            <w:pPr>
              <w:rPr>
                <w:rFonts w:ascii="Times New Roman" w:hAnsi="Times New Roman" w:cs="Times New Roman"/>
                <w:sz w:val="20"/>
                <w:szCs w:val="20"/>
                <w:lang w:val="en-US"/>
              </w:rPr>
            </w:pPr>
            <w:r w:rsidRPr="004C6315">
              <w:rPr>
                <w:rFonts w:ascii="Times New Roman" w:hAnsi="Times New Roman" w:cs="Times New Roman"/>
                <w:sz w:val="20"/>
                <w:szCs w:val="20"/>
                <w:lang w:val="en-US"/>
              </w:rPr>
              <w:t>MeetingCancellation/Document/MtgCxl/Xtnsn/XtnsnEnvlp/XtnsnDt/PrhbtnTrnsfrInf</w:t>
            </w:r>
          </w:p>
        </w:tc>
        <w:tc>
          <w:tcPr>
            <w:tcW w:w="4724" w:type="dxa"/>
          </w:tcPr>
          <w:p w14:paraId="2685F074" w14:textId="77777777" w:rsidR="004C6315" w:rsidRPr="004C6315" w:rsidRDefault="004C6315" w:rsidP="004C6315">
            <w:pPr>
              <w:rPr>
                <w:rFonts w:ascii="Times New Roman" w:eastAsia="Calibri" w:hAnsi="Times New Roman" w:cs="Times New Roman"/>
                <w:b/>
                <w:bCs/>
                <w:sz w:val="20"/>
                <w:szCs w:val="20"/>
              </w:rPr>
            </w:pPr>
            <w:r w:rsidRPr="004C6315">
              <w:rPr>
                <w:rFonts w:ascii="Times New Roman" w:eastAsia="Calibri" w:hAnsi="Times New Roman" w:cs="Times New Roman"/>
                <w:b/>
                <w:bCs/>
                <w:sz w:val="20"/>
                <w:szCs w:val="20"/>
              </w:rPr>
              <w:t>Было:</w:t>
            </w:r>
          </w:p>
          <w:p w14:paraId="7B6663E2" w14:textId="77777777" w:rsidR="004C6315" w:rsidRPr="004C6315" w:rsidRDefault="004C6315" w:rsidP="004C6315">
            <w:pPr>
              <w:rPr>
                <w:rFonts w:ascii="Times New Roman" w:eastAsia="Calibri" w:hAnsi="Times New Roman" w:cs="Times New Roman"/>
                <w:bCs/>
                <w:sz w:val="20"/>
                <w:szCs w:val="20"/>
              </w:rPr>
            </w:pPr>
            <w:r w:rsidRPr="004C6315">
              <w:rPr>
                <w:rFonts w:ascii="Times New Roman" w:eastAsia="Calibri" w:hAnsi="Times New Roman" w:cs="Times New Roman"/>
                <w:b/>
                <w:bCs/>
                <w:sz w:val="20"/>
                <w:szCs w:val="20"/>
              </w:rPr>
              <w:t>Название</w:t>
            </w:r>
            <w:r w:rsidRPr="004C6315">
              <w:rPr>
                <w:rFonts w:ascii="Times New Roman" w:eastAsia="Calibri" w:hAnsi="Times New Roman" w:cs="Times New Roman"/>
                <w:bCs/>
                <w:sz w:val="20"/>
                <w:szCs w:val="20"/>
              </w:rPr>
              <w:t>: «Ограничение на предоставление информации неограниченному кругу лиц»</w:t>
            </w:r>
          </w:p>
          <w:p w14:paraId="2212DBD3" w14:textId="77777777" w:rsidR="004C6315" w:rsidRPr="004C6315" w:rsidRDefault="004C6315" w:rsidP="004C6315">
            <w:pPr>
              <w:rPr>
                <w:rFonts w:ascii="Times New Roman" w:eastAsia="Calibri" w:hAnsi="Times New Roman" w:cs="Times New Roman"/>
                <w:bCs/>
                <w:sz w:val="20"/>
                <w:szCs w:val="20"/>
              </w:rPr>
            </w:pPr>
            <w:r w:rsidRPr="004C6315">
              <w:rPr>
                <w:rFonts w:ascii="Times New Roman" w:eastAsia="Calibri" w:hAnsi="Times New Roman" w:cs="Times New Roman"/>
                <w:b/>
                <w:bCs/>
                <w:sz w:val="20"/>
                <w:szCs w:val="20"/>
              </w:rPr>
              <w:t>Пояснение</w:t>
            </w:r>
            <w:r w:rsidRPr="004C6315">
              <w:rPr>
                <w:rFonts w:ascii="Times New Roman" w:eastAsia="Calibri" w:hAnsi="Times New Roman" w:cs="Times New Roman"/>
                <w:bCs/>
                <w:sz w:val="20"/>
                <w:szCs w:val="20"/>
              </w:rPr>
              <w:t>: «Показывает, возможно ли предоставление данной информации в открытом доступе, т.е. предоставление информации неограниченному кругу лиц. Если значение установлено true, то информация предназначена только для владельцев, имеющих право на ее получение. Если признак отсутствует или установлен false то передача информации считается разрешенной.»</w:t>
            </w:r>
          </w:p>
          <w:p w14:paraId="4887F7E8" w14:textId="77777777" w:rsidR="004C6315" w:rsidRPr="004C6315" w:rsidRDefault="004C6315" w:rsidP="004C6315">
            <w:pPr>
              <w:rPr>
                <w:rFonts w:ascii="Times New Roman" w:eastAsia="Calibri" w:hAnsi="Times New Roman" w:cs="Times New Roman"/>
                <w:bCs/>
                <w:sz w:val="20"/>
                <w:szCs w:val="20"/>
              </w:rPr>
            </w:pPr>
            <w:r w:rsidRPr="004C6315">
              <w:rPr>
                <w:rFonts w:ascii="Times New Roman" w:eastAsia="Calibri" w:hAnsi="Times New Roman" w:cs="Times New Roman"/>
                <w:b/>
                <w:bCs/>
                <w:sz w:val="20"/>
                <w:szCs w:val="20"/>
              </w:rPr>
              <w:t>Ограничение</w:t>
            </w:r>
            <w:r w:rsidRPr="004C6315">
              <w:rPr>
                <w:rFonts w:ascii="Times New Roman" w:eastAsia="Calibri" w:hAnsi="Times New Roman" w:cs="Times New Roman"/>
                <w:bCs/>
                <w:sz w:val="20"/>
                <w:szCs w:val="20"/>
              </w:rPr>
              <w:t>: «НРД  игнорирует обработку этого поля во входящих сообщениях.»</w:t>
            </w:r>
          </w:p>
          <w:p w14:paraId="233E5959" w14:textId="77777777" w:rsidR="004C6315" w:rsidRPr="004C6315" w:rsidRDefault="004C6315" w:rsidP="004C6315">
            <w:pPr>
              <w:rPr>
                <w:rFonts w:ascii="Times New Roman" w:eastAsia="Calibri" w:hAnsi="Times New Roman" w:cs="Times New Roman"/>
                <w:b/>
                <w:bCs/>
                <w:sz w:val="20"/>
                <w:szCs w:val="20"/>
              </w:rPr>
            </w:pPr>
          </w:p>
          <w:p w14:paraId="29F66B8C" w14:textId="77777777" w:rsidR="004C6315" w:rsidRPr="004C6315" w:rsidRDefault="004C6315" w:rsidP="004C6315">
            <w:pPr>
              <w:rPr>
                <w:rFonts w:ascii="Times New Roman" w:eastAsia="Calibri" w:hAnsi="Times New Roman" w:cs="Times New Roman"/>
                <w:b/>
                <w:bCs/>
                <w:sz w:val="20"/>
                <w:szCs w:val="20"/>
              </w:rPr>
            </w:pPr>
            <w:r w:rsidRPr="004C6315">
              <w:rPr>
                <w:rFonts w:ascii="Times New Roman" w:eastAsia="Calibri" w:hAnsi="Times New Roman" w:cs="Times New Roman"/>
                <w:b/>
                <w:bCs/>
                <w:sz w:val="20"/>
                <w:szCs w:val="20"/>
              </w:rPr>
              <w:t>Стало:</w:t>
            </w:r>
          </w:p>
          <w:p w14:paraId="6D88A6E2" w14:textId="77777777" w:rsidR="004C6315" w:rsidRPr="004C6315" w:rsidRDefault="004C6315" w:rsidP="004C6315">
            <w:pPr>
              <w:rPr>
                <w:rFonts w:ascii="Times New Roman" w:eastAsia="Calibri" w:hAnsi="Times New Roman" w:cs="Times New Roman"/>
                <w:bCs/>
                <w:sz w:val="20"/>
                <w:szCs w:val="20"/>
              </w:rPr>
            </w:pPr>
            <w:r w:rsidRPr="004C6315">
              <w:rPr>
                <w:rFonts w:ascii="Times New Roman" w:eastAsia="Calibri" w:hAnsi="Times New Roman" w:cs="Times New Roman"/>
                <w:b/>
                <w:bCs/>
                <w:sz w:val="20"/>
                <w:szCs w:val="20"/>
              </w:rPr>
              <w:t>Название</w:t>
            </w:r>
            <w:r w:rsidRPr="004C6315">
              <w:rPr>
                <w:rFonts w:ascii="Times New Roman" w:eastAsia="Calibri" w:hAnsi="Times New Roman" w:cs="Times New Roman"/>
                <w:bCs/>
                <w:sz w:val="20"/>
                <w:szCs w:val="20"/>
              </w:rPr>
              <w:t>: «Информация, не подлежащая раскрытию неограниченному кругу лиц »</w:t>
            </w:r>
          </w:p>
          <w:p w14:paraId="4EEC4240" w14:textId="2E7721D1" w:rsidR="004C6315" w:rsidRPr="004C6315" w:rsidRDefault="004C6315" w:rsidP="004C6315">
            <w:pPr>
              <w:rPr>
                <w:rFonts w:ascii="Times New Roman" w:hAnsi="Times New Roman" w:cs="Times New Roman"/>
                <w:sz w:val="20"/>
                <w:szCs w:val="20"/>
              </w:rPr>
            </w:pPr>
            <w:r w:rsidRPr="004C6315">
              <w:rPr>
                <w:rFonts w:ascii="Times New Roman" w:eastAsia="Calibri" w:hAnsi="Times New Roman" w:cs="Times New Roman"/>
                <w:b/>
                <w:bCs/>
                <w:sz w:val="20"/>
                <w:szCs w:val="20"/>
              </w:rPr>
              <w:t>Пояснение</w:t>
            </w:r>
            <w:r w:rsidRPr="004C6315">
              <w:rPr>
                <w:rFonts w:ascii="Times New Roman" w:eastAsia="Calibri" w:hAnsi="Times New Roman" w:cs="Times New Roman"/>
                <w:bCs/>
                <w:sz w:val="20"/>
                <w:szCs w:val="20"/>
              </w:rPr>
              <w:t>: «Признак показывает, возможно ли предоставление информации, содержащейся в данном КД, неограниченному кругу лиц, т.е. ее размещение в открытом доступе. Если значение установлено true, то информация предназначена только для владельцев ценных бумаг, имеющих право на получение информации о данном КД, без возможности размещения ее в открытом доступе. Если признак отсутствует или установлен false, то предоставление информации о КД неограниченному кругу лиц допустимо.»</w:t>
            </w:r>
          </w:p>
        </w:tc>
        <w:tc>
          <w:tcPr>
            <w:tcW w:w="1843" w:type="dxa"/>
          </w:tcPr>
          <w:p w14:paraId="58B667CA" w14:textId="56373CC7" w:rsidR="004C6315" w:rsidRPr="004C6315" w:rsidRDefault="004C6315" w:rsidP="004C6315">
            <w:pPr>
              <w:rPr>
                <w:rFonts w:ascii="Times New Roman" w:hAnsi="Times New Roman" w:cs="Times New Roman"/>
                <w:sz w:val="20"/>
                <w:szCs w:val="20"/>
              </w:rPr>
            </w:pPr>
            <w:r w:rsidRPr="004C6315">
              <w:rPr>
                <w:rFonts w:ascii="Times New Roman" w:hAnsi="Times New Roman" w:cs="Times New Roman"/>
                <w:sz w:val="20"/>
                <w:szCs w:val="20"/>
              </w:rPr>
              <w:t>Новая редакция</w:t>
            </w:r>
          </w:p>
        </w:tc>
      </w:tr>
      <w:tr w:rsidR="004C6315" w:rsidRPr="004C6315" w14:paraId="4650D6DB" w14:textId="77777777" w:rsidTr="00D91797">
        <w:tc>
          <w:tcPr>
            <w:tcW w:w="425" w:type="dxa"/>
          </w:tcPr>
          <w:p w14:paraId="0E92A3FD" w14:textId="3897374F" w:rsidR="004C6315" w:rsidRPr="004C6315" w:rsidRDefault="004C6315" w:rsidP="004C6315">
            <w:pPr>
              <w:ind w:left="34"/>
              <w:rPr>
                <w:rFonts w:ascii="Times New Roman" w:hAnsi="Times New Roman" w:cs="Times New Roman"/>
                <w:sz w:val="20"/>
                <w:szCs w:val="20"/>
              </w:rPr>
            </w:pPr>
            <w:r w:rsidRPr="004C6315">
              <w:rPr>
                <w:rFonts w:ascii="Times New Roman" w:hAnsi="Times New Roman" w:cs="Times New Roman"/>
                <w:sz w:val="20"/>
                <w:szCs w:val="20"/>
              </w:rPr>
              <w:t>5</w:t>
            </w:r>
          </w:p>
        </w:tc>
        <w:tc>
          <w:tcPr>
            <w:tcW w:w="2977" w:type="dxa"/>
          </w:tcPr>
          <w:p w14:paraId="2AA9E88B" w14:textId="23803C17" w:rsidR="004C6315" w:rsidRPr="004C6315" w:rsidRDefault="004C6315" w:rsidP="004C6315">
            <w:pPr>
              <w:ind w:left="34"/>
              <w:rPr>
                <w:rFonts w:ascii="Times New Roman" w:hAnsi="Times New Roman" w:cs="Times New Roman"/>
                <w:sz w:val="20"/>
                <w:szCs w:val="20"/>
              </w:rPr>
            </w:pPr>
            <w:r w:rsidRPr="004C6315">
              <w:rPr>
                <w:rFonts w:ascii="Times New Roman" w:hAnsi="Times New Roman" w:cs="Times New Roman"/>
                <w:sz w:val="20"/>
                <w:szCs w:val="20"/>
              </w:rPr>
              <w:t>Сообщение о собрании / Meeting Notification (seev.001.001.04)</w:t>
            </w:r>
          </w:p>
        </w:tc>
        <w:tc>
          <w:tcPr>
            <w:tcW w:w="5482" w:type="dxa"/>
          </w:tcPr>
          <w:p w14:paraId="534AE8D9" w14:textId="098E0E28" w:rsidR="004C6315" w:rsidRPr="004C6315" w:rsidRDefault="004C6315" w:rsidP="004C6315">
            <w:pPr>
              <w:rPr>
                <w:rFonts w:ascii="Times New Roman" w:hAnsi="Times New Roman" w:cs="Times New Roman"/>
                <w:sz w:val="20"/>
                <w:szCs w:val="20"/>
                <w:lang w:val="en-US"/>
              </w:rPr>
            </w:pPr>
            <w:r w:rsidRPr="004C6315">
              <w:rPr>
                <w:rFonts w:ascii="Times New Roman" w:hAnsi="Times New Roman" w:cs="Times New Roman"/>
                <w:sz w:val="20"/>
                <w:szCs w:val="20"/>
                <w:lang w:val="en-US"/>
              </w:rPr>
              <w:t>MeetingNotification/Document/MtgNtfctn/Xtnsn/XtnsnEnvlp/XtnsnDt/PrhbtnTrnsfrInf</w:t>
            </w:r>
          </w:p>
        </w:tc>
        <w:tc>
          <w:tcPr>
            <w:tcW w:w="4724" w:type="dxa"/>
          </w:tcPr>
          <w:p w14:paraId="29C1D92B" w14:textId="77777777" w:rsidR="004C6315" w:rsidRPr="004C6315" w:rsidRDefault="004C6315" w:rsidP="004C6315">
            <w:pPr>
              <w:rPr>
                <w:rFonts w:ascii="Times New Roman" w:eastAsia="Calibri" w:hAnsi="Times New Roman" w:cs="Times New Roman"/>
                <w:b/>
                <w:bCs/>
                <w:sz w:val="20"/>
                <w:szCs w:val="20"/>
              </w:rPr>
            </w:pPr>
            <w:r w:rsidRPr="004C6315">
              <w:rPr>
                <w:rFonts w:ascii="Times New Roman" w:eastAsia="Calibri" w:hAnsi="Times New Roman" w:cs="Times New Roman"/>
                <w:b/>
                <w:bCs/>
                <w:sz w:val="20"/>
                <w:szCs w:val="20"/>
              </w:rPr>
              <w:t>Было:</w:t>
            </w:r>
          </w:p>
          <w:p w14:paraId="0CB508C9" w14:textId="77777777" w:rsidR="004C6315" w:rsidRPr="004C6315" w:rsidRDefault="004C6315" w:rsidP="004C6315">
            <w:pPr>
              <w:rPr>
                <w:rFonts w:ascii="Times New Roman" w:eastAsia="Calibri" w:hAnsi="Times New Roman" w:cs="Times New Roman"/>
                <w:bCs/>
                <w:sz w:val="20"/>
                <w:szCs w:val="20"/>
              </w:rPr>
            </w:pPr>
            <w:r w:rsidRPr="004C6315">
              <w:rPr>
                <w:rFonts w:ascii="Times New Roman" w:eastAsia="Calibri" w:hAnsi="Times New Roman" w:cs="Times New Roman"/>
                <w:b/>
                <w:bCs/>
                <w:sz w:val="20"/>
                <w:szCs w:val="20"/>
              </w:rPr>
              <w:t>Название</w:t>
            </w:r>
            <w:r w:rsidRPr="004C6315">
              <w:rPr>
                <w:rFonts w:ascii="Times New Roman" w:eastAsia="Calibri" w:hAnsi="Times New Roman" w:cs="Times New Roman"/>
                <w:bCs/>
                <w:sz w:val="20"/>
                <w:szCs w:val="20"/>
              </w:rPr>
              <w:t>: «Ограничение на предоставление информации неограниченному кругу лиц»</w:t>
            </w:r>
          </w:p>
          <w:p w14:paraId="181EC969" w14:textId="77777777" w:rsidR="004C6315" w:rsidRPr="004C6315" w:rsidRDefault="004C6315" w:rsidP="004C6315">
            <w:pPr>
              <w:rPr>
                <w:rFonts w:ascii="Times New Roman" w:eastAsia="Calibri" w:hAnsi="Times New Roman" w:cs="Times New Roman"/>
                <w:bCs/>
                <w:sz w:val="20"/>
                <w:szCs w:val="20"/>
              </w:rPr>
            </w:pPr>
            <w:r w:rsidRPr="004C6315">
              <w:rPr>
                <w:rFonts w:ascii="Times New Roman" w:eastAsia="Calibri" w:hAnsi="Times New Roman" w:cs="Times New Roman"/>
                <w:b/>
                <w:bCs/>
                <w:sz w:val="20"/>
                <w:szCs w:val="20"/>
              </w:rPr>
              <w:t>Пояснение</w:t>
            </w:r>
            <w:r w:rsidRPr="004C6315">
              <w:rPr>
                <w:rFonts w:ascii="Times New Roman" w:eastAsia="Calibri" w:hAnsi="Times New Roman" w:cs="Times New Roman"/>
                <w:bCs/>
                <w:sz w:val="20"/>
                <w:szCs w:val="20"/>
              </w:rPr>
              <w:t>: «Показывает, возможно ли предоставление данной информации в открытом доступе, т.е. предоставление информации неограниченному кругу лиц. Если значение установлено true, то информация предназначена только для владельцев, имеющих право на ее получение. Если признак отсутствует или установлен false то передача информации считается разрешенной.»</w:t>
            </w:r>
          </w:p>
          <w:p w14:paraId="70217212" w14:textId="77777777" w:rsidR="004C6315" w:rsidRPr="004C6315" w:rsidRDefault="004C6315" w:rsidP="004C6315">
            <w:pPr>
              <w:rPr>
                <w:rFonts w:ascii="Times New Roman" w:eastAsia="Calibri" w:hAnsi="Times New Roman" w:cs="Times New Roman"/>
                <w:bCs/>
                <w:sz w:val="20"/>
                <w:szCs w:val="20"/>
              </w:rPr>
            </w:pPr>
            <w:r w:rsidRPr="004C6315">
              <w:rPr>
                <w:rFonts w:ascii="Times New Roman" w:eastAsia="Calibri" w:hAnsi="Times New Roman" w:cs="Times New Roman"/>
                <w:b/>
                <w:bCs/>
                <w:sz w:val="20"/>
                <w:szCs w:val="20"/>
              </w:rPr>
              <w:t>Ограничение</w:t>
            </w:r>
            <w:r w:rsidRPr="004C6315">
              <w:rPr>
                <w:rFonts w:ascii="Times New Roman" w:eastAsia="Calibri" w:hAnsi="Times New Roman" w:cs="Times New Roman"/>
                <w:bCs/>
                <w:sz w:val="20"/>
                <w:szCs w:val="20"/>
              </w:rPr>
              <w:t>: «НРД  игнорирует обработку этого поля во входящих сообщениях.»</w:t>
            </w:r>
          </w:p>
          <w:p w14:paraId="4E220DD5" w14:textId="77777777" w:rsidR="004C6315" w:rsidRPr="004C6315" w:rsidRDefault="004C6315" w:rsidP="004C6315">
            <w:pPr>
              <w:rPr>
                <w:rFonts w:ascii="Times New Roman" w:eastAsia="Calibri" w:hAnsi="Times New Roman" w:cs="Times New Roman"/>
                <w:b/>
                <w:bCs/>
                <w:sz w:val="20"/>
                <w:szCs w:val="20"/>
              </w:rPr>
            </w:pPr>
          </w:p>
          <w:p w14:paraId="0B79706F" w14:textId="77777777" w:rsidR="004C6315" w:rsidRPr="004C6315" w:rsidRDefault="004C6315" w:rsidP="004C6315">
            <w:pPr>
              <w:rPr>
                <w:rFonts w:ascii="Times New Roman" w:eastAsia="Calibri" w:hAnsi="Times New Roman" w:cs="Times New Roman"/>
                <w:b/>
                <w:bCs/>
                <w:sz w:val="20"/>
                <w:szCs w:val="20"/>
              </w:rPr>
            </w:pPr>
            <w:r w:rsidRPr="004C6315">
              <w:rPr>
                <w:rFonts w:ascii="Times New Roman" w:eastAsia="Calibri" w:hAnsi="Times New Roman" w:cs="Times New Roman"/>
                <w:b/>
                <w:bCs/>
                <w:sz w:val="20"/>
                <w:szCs w:val="20"/>
              </w:rPr>
              <w:t>Стало:</w:t>
            </w:r>
          </w:p>
          <w:p w14:paraId="4CDB13D0" w14:textId="77777777" w:rsidR="004C6315" w:rsidRPr="004C6315" w:rsidRDefault="004C6315" w:rsidP="004C6315">
            <w:pPr>
              <w:rPr>
                <w:rFonts w:ascii="Times New Roman" w:eastAsia="Calibri" w:hAnsi="Times New Roman" w:cs="Times New Roman"/>
                <w:bCs/>
                <w:sz w:val="20"/>
                <w:szCs w:val="20"/>
              </w:rPr>
            </w:pPr>
            <w:r w:rsidRPr="004C6315">
              <w:rPr>
                <w:rFonts w:ascii="Times New Roman" w:eastAsia="Calibri" w:hAnsi="Times New Roman" w:cs="Times New Roman"/>
                <w:b/>
                <w:bCs/>
                <w:sz w:val="20"/>
                <w:szCs w:val="20"/>
              </w:rPr>
              <w:t>Название</w:t>
            </w:r>
            <w:r w:rsidRPr="004C6315">
              <w:rPr>
                <w:rFonts w:ascii="Times New Roman" w:eastAsia="Calibri" w:hAnsi="Times New Roman" w:cs="Times New Roman"/>
                <w:bCs/>
                <w:sz w:val="20"/>
                <w:szCs w:val="20"/>
              </w:rPr>
              <w:t>: «Информация, не подлежащая раскрытию неограниченному кругу лиц »</w:t>
            </w:r>
          </w:p>
          <w:p w14:paraId="7BD3AA30" w14:textId="0B93E2F7" w:rsidR="004C6315" w:rsidRPr="004C6315" w:rsidRDefault="004C6315" w:rsidP="004C6315">
            <w:pPr>
              <w:rPr>
                <w:rFonts w:ascii="Times New Roman" w:hAnsi="Times New Roman" w:cs="Times New Roman"/>
                <w:sz w:val="20"/>
                <w:szCs w:val="20"/>
              </w:rPr>
            </w:pPr>
            <w:r w:rsidRPr="004C6315">
              <w:rPr>
                <w:rFonts w:ascii="Times New Roman" w:eastAsia="Calibri" w:hAnsi="Times New Roman" w:cs="Times New Roman"/>
                <w:b/>
                <w:bCs/>
                <w:sz w:val="20"/>
                <w:szCs w:val="20"/>
              </w:rPr>
              <w:t>Пояснение</w:t>
            </w:r>
            <w:r w:rsidRPr="004C6315">
              <w:rPr>
                <w:rFonts w:ascii="Times New Roman" w:eastAsia="Calibri" w:hAnsi="Times New Roman" w:cs="Times New Roman"/>
                <w:bCs/>
                <w:sz w:val="20"/>
                <w:szCs w:val="20"/>
              </w:rPr>
              <w:t>: «Признак показывает, возможно ли предоставление информации, содержащейся в данном КД, неограниченному кругу лиц, т.е. ее размещение в открытом доступе. Если значение установлено true, то информация предназначена только для владельцев ценных бумаг, имеющих право на получение информации о данном КД, без возможности размещения ее в открытом доступе. Если признак отсутствует или установлен false, то предоставление информации о КД неограниченному кругу лиц допустимо.»</w:t>
            </w:r>
          </w:p>
        </w:tc>
        <w:tc>
          <w:tcPr>
            <w:tcW w:w="1843" w:type="dxa"/>
          </w:tcPr>
          <w:p w14:paraId="02350015" w14:textId="68344711" w:rsidR="004C6315" w:rsidRPr="004C6315" w:rsidRDefault="004C6315" w:rsidP="004C6315">
            <w:pPr>
              <w:rPr>
                <w:rFonts w:ascii="Times New Roman" w:hAnsi="Times New Roman" w:cs="Times New Roman"/>
                <w:sz w:val="20"/>
                <w:szCs w:val="20"/>
              </w:rPr>
            </w:pPr>
            <w:r w:rsidRPr="004C6315">
              <w:rPr>
                <w:rFonts w:ascii="Times New Roman" w:hAnsi="Times New Roman" w:cs="Times New Roman"/>
                <w:sz w:val="20"/>
                <w:szCs w:val="20"/>
              </w:rPr>
              <w:t>Новая редакция</w:t>
            </w:r>
          </w:p>
        </w:tc>
      </w:tr>
      <w:tr w:rsidR="004C6315" w:rsidRPr="004C6315" w14:paraId="3FC156AD" w14:textId="77777777" w:rsidTr="00D91797">
        <w:tc>
          <w:tcPr>
            <w:tcW w:w="425" w:type="dxa"/>
          </w:tcPr>
          <w:p w14:paraId="0F2D69BF" w14:textId="1EA6AD73" w:rsidR="004C6315" w:rsidRPr="004C6315" w:rsidRDefault="004C6315" w:rsidP="004C6315">
            <w:pPr>
              <w:ind w:left="34"/>
              <w:rPr>
                <w:rFonts w:ascii="Times New Roman" w:hAnsi="Times New Roman" w:cs="Times New Roman"/>
                <w:sz w:val="20"/>
                <w:szCs w:val="20"/>
              </w:rPr>
            </w:pPr>
            <w:r w:rsidRPr="004C6315">
              <w:rPr>
                <w:rFonts w:ascii="Times New Roman" w:hAnsi="Times New Roman" w:cs="Times New Roman"/>
                <w:sz w:val="20"/>
                <w:szCs w:val="20"/>
              </w:rPr>
              <w:t>6</w:t>
            </w:r>
          </w:p>
        </w:tc>
        <w:tc>
          <w:tcPr>
            <w:tcW w:w="2977" w:type="dxa"/>
          </w:tcPr>
          <w:p w14:paraId="5C3E8220" w14:textId="7E0F50C0" w:rsidR="004C6315" w:rsidRPr="004C6315" w:rsidRDefault="004C6315" w:rsidP="004C6315">
            <w:pPr>
              <w:ind w:left="34"/>
              <w:rPr>
                <w:rFonts w:ascii="Times New Roman" w:hAnsi="Times New Roman" w:cs="Times New Roman"/>
                <w:sz w:val="20"/>
                <w:szCs w:val="20"/>
                <w:lang w:val="en-US"/>
              </w:rPr>
            </w:pPr>
            <w:r w:rsidRPr="004C6315">
              <w:rPr>
                <w:rFonts w:ascii="Times New Roman" w:hAnsi="Times New Roman" w:cs="Times New Roman"/>
                <w:sz w:val="20"/>
                <w:szCs w:val="20"/>
              </w:rPr>
              <w:t>Сообщение</w:t>
            </w:r>
            <w:r w:rsidRPr="004C6315">
              <w:rPr>
                <w:rFonts w:ascii="Times New Roman" w:hAnsi="Times New Roman" w:cs="Times New Roman"/>
                <w:sz w:val="20"/>
                <w:szCs w:val="20"/>
                <w:lang w:val="en-US"/>
              </w:rPr>
              <w:t xml:space="preserve"> </w:t>
            </w:r>
            <w:r w:rsidRPr="004C6315">
              <w:rPr>
                <w:rFonts w:ascii="Times New Roman" w:hAnsi="Times New Roman" w:cs="Times New Roman"/>
                <w:sz w:val="20"/>
                <w:szCs w:val="20"/>
              </w:rPr>
              <w:t>об</w:t>
            </w:r>
            <w:r w:rsidRPr="004C6315">
              <w:rPr>
                <w:rFonts w:ascii="Times New Roman" w:hAnsi="Times New Roman" w:cs="Times New Roman"/>
                <w:sz w:val="20"/>
                <w:szCs w:val="20"/>
                <w:lang w:val="en-US"/>
              </w:rPr>
              <w:t xml:space="preserve"> </w:t>
            </w:r>
            <w:r w:rsidRPr="004C6315">
              <w:rPr>
                <w:rFonts w:ascii="Times New Roman" w:hAnsi="Times New Roman" w:cs="Times New Roman"/>
                <w:sz w:val="20"/>
                <w:szCs w:val="20"/>
              </w:rPr>
              <w:t>итогах</w:t>
            </w:r>
            <w:r w:rsidRPr="004C6315">
              <w:rPr>
                <w:rFonts w:ascii="Times New Roman" w:hAnsi="Times New Roman" w:cs="Times New Roman"/>
                <w:sz w:val="20"/>
                <w:szCs w:val="20"/>
                <w:lang w:val="en-US"/>
              </w:rPr>
              <w:t xml:space="preserve"> </w:t>
            </w:r>
            <w:r w:rsidRPr="004C6315">
              <w:rPr>
                <w:rFonts w:ascii="Times New Roman" w:hAnsi="Times New Roman" w:cs="Times New Roman"/>
                <w:sz w:val="20"/>
                <w:szCs w:val="20"/>
              </w:rPr>
              <w:t>собрания</w:t>
            </w:r>
            <w:r w:rsidRPr="004C6315">
              <w:rPr>
                <w:rFonts w:ascii="Times New Roman" w:hAnsi="Times New Roman" w:cs="Times New Roman"/>
                <w:sz w:val="20"/>
                <w:szCs w:val="20"/>
                <w:lang w:val="en-US"/>
              </w:rPr>
              <w:t xml:space="preserve"> / Meeting Result Dissemination (seev.008.001.04)</w:t>
            </w:r>
          </w:p>
        </w:tc>
        <w:tc>
          <w:tcPr>
            <w:tcW w:w="5482" w:type="dxa"/>
          </w:tcPr>
          <w:p w14:paraId="6512F93D" w14:textId="2C99D2A8" w:rsidR="004C6315" w:rsidRPr="004C6315" w:rsidRDefault="004C6315" w:rsidP="004C6315">
            <w:pPr>
              <w:rPr>
                <w:rFonts w:ascii="Times New Roman" w:hAnsi="Times New Roman" w:cs="Times New Roman"/>
                <w:sz w:val="20"/>
                <w:szCs w:val="20"/>
                <w:lang w:val="en-US"/>
              </w:rPr>
            </w:pPr>
            <w:r w:rsidRPr="004C6315">
              <w:rPr>
                <w:rFonts w:ascii="Times New Roman" w:eastAsia="Calibri" w:hAnsi="Times New Roman" w:cs="Times New Roman"/>
                <w:snapToGrid w:val="0"/>
                <w:sz w:val="20"/>
                <w:szCs w:val="20"/>
                <w:lang w:val="en-US"/>
              </w:rPr>
              <w:t>MeetingResultDissemination/Document/MtgRsltDssmntn/Xtnsn/XtnsnEnvlp/XtnsnDt/PrhbtnTrnsfrInf</w:t>
            </w:r>
          </w:p>
        </w:tc>
        <w:tc>
          <w:tcPr>
            <w:tcW w:w="4724" w:type="dxa"/>
          </w:tcPr>
          <w:p w14:paraId="24334914" w14:textId="77777777" w:rsidR="004C6315" w:rsidRPr="004C6315" w:rsidRDefault="004C6315" w:rsidP="004C6315">
            <w:pPr>
              <w:rPr>
                <w:rFonts w:ascii="Times New Roman" w:eastAsia="Calibri" w:hAnsi="Times New Roman" w:cs="Times New Roman"/>
                <w:b/>
                <w:bCs/>
                <w:sz w:val="20"/>
                <w:szCs w:val="20"/>
              </w:rPr>
            </w:pPr>
            <w:r w:rsidRPr="004C6315">
              <w:rPr>
                <w:rFonts w:ascii="Times New Roman" w:eastAsia="Calibri" w:hAnsi="Times New Roman" w:cs="Times New Roman"/>
                <w:b/>
                <w:bCs/>
                <w:sz w:val="20"/>
                <w:szCs w:val="20"/>
              </w:rPr>
              <w:t>Было:</w:t>
            </w:r>
          </w:p>
          <w:p w14:paraId="5E875A22" w14:textId="77777777" w:rsidR="004C6315" w:rsidRPr="004C6315" w:rsidRDefault="004C6315" w:rsidP="004C6315">
            <w:pPr>
              <w:rPr>
                <w:rFonts w:ascii="Times New Roman" w:eastAsia="Calibri" w:hAnsi="Times New Roman" w:cs="Times New Roman"/>
                <w:bCs/>
                <w:sz w:val="20"/>
                <w:szCs w:val="20"/>
              </w:rPr>
            </w:pPr>
            <w:r w:rsidRPr="004C6315">
              <w:rPr>
                <w:rFonts w:ascii="Times New Roman" w:eastAsia="Calibri" w:hAnsi="Times New Roman" w:cs="Times New Roman"/>
                <w:b/>
                <w:bCs/>
                <w:sz w:val="20"/>
                <w:szCs w:val="20"/>
              </w:rPr>
              <w:t>Название</w:t>
            </w:r>
            <w:r w:rsidRPr="004C6315">
              <w:rPr>
                <w:rFonts w:ascii="Times New Roman" w:eastAsia="Calibri" w:hAnsi="Times New Roman" w:cs="Times New Roman"/>
                <w:bCs/>
                <w:sz w:val="20"/>
                <w:szCs w:val="20"/>
              </w:rPr>
              <w:t>: «Ограничение на предоставление информации неограниченному кругу лиц»</w:t>
            </w:r>
          </w:p>
          <w:p w14:paraId="0999AA57" w14:textId="77777777" w:rsidR="004C6315" w:rsidRPr="004C6315" w:rsidRDefault="004C6315" w:rsidP="004C6315">
            <w:pPr>
              <w:rPr>
                <w:rFonts w:ascii="Times New Roman" w:eastAsia="Calibri" w:hAnsi="Times New Roman" w:cs="Times New Roman"/>
                <w:bCs/>
                <w:sz w:val="20"/>
                <w:szCs w:val="20"/>
              </w:rPr>
            </w:pPr>
            <w:r w:rsidRPr="004C6315">
              <w:rPr>
                <w:rFonts w:ascii="Times New Roman" w:eastAsia="Calibri" w:hAnsi="Times New Roman" w:cs="Times New Roman"/>
                <w:b/>
                <w:bCs/>
                <w:sz w:val="20"/>
                <w:szCs w:val="20"/>
              </w:rPr>
              <w:t>Пояснение</w:t>
            </w:r>
            <w:r w:rsidRPr="004C6315">
              <w:rPr>
                <w:rFonts w:ascii="Times New Roman" w:eastAsia="Calibri" w:hAnsi="Times New Roman" w:cs="Times New Roman"/>
                <w:bCs/>
                <w:sz w:val="20"/>
                <w:szCs w:val="20"/>
              </w:rPr>
              <w:t>: «Показывает, возможно ли предоставление данной информации в открытом доступе, т.е. предоставление информации неограниченному кругу лиц. Если значение установлено true, то информация предназначена только для владельцев, имеющих право на ее получение. Если признак отсутствует или установлен false то передача информации считается разрешенной.»</w:t>
            </w:r>
          </w:p>
          <w:p w14:paraId="672872DE" w14:textId="77777777" w:rsidR="004C6315" w:rsidRPr="004C6315" w:rsidRDefault="004C6315" w:rsidP="004C6315">
            <w:pPr>
              <w:rPr>
                <w:rFonts w:ascii="Times New Roman" w:eastAsia="Calibri" w:hAnsi="Times New Roman" w:cs="Times New Roman"/>
                <w:bCs/>
                <w:sz w:val="20"/>
                <w:szCs w:val="20"/>
              </w:rPr>
            </w:pPr>
            <w:r w:rsidRPr="004C6315">
              <w:rPr>
                <w:rFonts w:ascii="Times New Roman" w:eastAsia="Calibri" w:hAnsi="Times New Roman" w:cs="Times New Roman"/>
                <w:b/>
                <w:bCs/>
                <w:sz w:val="20"/>
                <w:szCs w:val="20"/>
              </w:rPr>
              <w:t>Ограничение</w:t>
            </w:r>
            <w:r w:rsidRPr="004C6315">
              <w:rPr>
                <w:rFonts w:ascii="Times New Roman" w:eastAsia="Calibri" w:hAnsi="Times New Roman" w:cs="Times New Roman"/>
                <w:bCs/>
                <w:sz w:val="20"/>
                <w:szCs w:val="20"/>
              </w:rPr>
              <w:t>: «НРД  игнорирует обработку этого поля во входящих сообщениях.»</w:t>
            </w:r>
          </w:p>
          <w:p w14:paraId="15CB8F62" w14:textId="77777777" w:rsidR="004C6315" w:rsidRPr="004C6315" w:rsidRDefault="004C6315" w:rsidP="004C6315">
            <w:pPr>
              <w:rPr>
                <w:rFonts w:ascii="Times New Roman" w:eastAsia="Calibri" w:hAnsi="Times New Roman" w:cs="Times New Roman"/>
                <w:b/>
                <w:bCs/>
                <w:sz w:val="20"/>
                <w:szCs w:val="20"/>
              </w:rPr>
            </w:pPr>
          </w:p>
          <w:p w14:paraId="3D48692F" w14:textId="77777777" w:rsidR="004C6315" w:rsidRPr="004C6315" w:rsidRDefault="004C6315" w:rsidP="004C6315">
            <w:pPr>
              <w:rPr>
                <w:rFonts w:ascii="Times New Roman" w:eastAsia="Calibri" w:hAnsi="Times New Roman" w:cs="Times New Roman"/>
                <w:b/>
                <w:bCs/>
                <w:sz w:val="20"/>
                <w:szCs w:val="20"/>
              </w:rPr>
            </w:pPr>
            <w:r w:rsidRPr="004C6315">
              <w:rPr>
                <w:rFonts w:ascii="Times New Roman" w:eastAsia="Calibri" w:hAnsi="Times New Roman" w:cs="Times New Roman"/>
                <w:b/>
                <w:bCs/>
                <w:sz w:val="20"/>
                <w:szCs w:val="20"/>
              </w:rPr>
              <w:t>Стало:</w:t>
            </w:r>
          </w:p>
          <w:p w14:paraId="1DF80DF6" w14:textId="77777777" w:rsidR="004C6315" w:rsidRPr="004C6315" w:rsidRDefault="004C6315" w:rsidP="004C6315">
            <w:pPr>
              <w:rPr>
                <w:rFonts w:ascii="Times New Roman" w:eastAsia="Calibri" w:hAnsi="Times New Roman" w:cs="Times New Roman"/>
                <w:bCs/>
                <w:sz w:val="20"/>
                <w:szCs w:val="20"/>
              </w:rPr>
            </w:pPr>
            <w:r w:rsidRPr="004C6315">
              <w:rPr>
                <w:rFonts w:ascii="Times New Roman" w:eastAsia="Calibri" w:hAnsi="Times New Roman" w:cs="Times New Roman"/>
                <w:b/>
                <w:bCs/>
                <w:sz w:val="20"/>
                <w:szCs w:val="20"/>
              </w:rPr>
              <w:t>Название</w:t>
            </w:r>
            <w:r w:rsidRPr="004C6315">
              <w:rPr>
                <w:rFonts w:ascii="Times New Roman" w:eastAsia="Calibri" w:hAnsi="Times New Roman" w:cs="Times New Roman"/>
                <w:bCs/>
                <w:sz w:val="20"/>
                <w:szCs w:val="20"/>
              </w:rPr>
              <w:t>: «Информация, не подлежащая раскрытию неограниченному кругу лиц »</w:t>
            </w:r>
          </w:p>
          <w:p w14:paraId="23F07D6B" w14:textId="503C60B2" w:rsidR="004C6315" w:rsidRPr="004C6315" w:rsidRDefault="004C6315" w:rsidP="004C6315">
            <w:pPr>
              <w:rPr>
                <w:rFonts w:ascii="Times New Roman" w:hAnsi="Times New Roman" w:cs="Times New Roman"/>
                <w:sz w:val="20"/>
                <w:szCs w:val="20"/>
              </w:rPr>
            </w:pPr>
            <w:r w:rsidRPr="004C6315">
              <w:rPr>
                <w:rFonts w:ascii="Times New Roman" w:eastAsia="Calibri" w:hAnsi="Times New Roman" w:cs="Times New Roman"/>
                <w:b/>
                <w:bCs/>
                <w:sz w:val="20"/>
                <w:szCs w:val="20"/>
              </w:rPr>
              <w:t>Пояснение</w:t>
            </w:r>
            <w:r w:rsidRPr="004C6315">
              <w:rPr>
                <w:rFonts w:ascii="Times New Roman" w:eastAsia="Calibri" w:hAnsi="Times New Roman" w:cs="Times New Roman"/>
                <w:bCs/>
                <w:sz w:val="20"/>
                <w:szCs w:val="20"/>
              </w:rPr>
              <w:t>: «Признак показывает, возможно ли предоставление информации, содержащейся в данном КД, неограниченному кругу лиц, т.е. ее размещение в открытом доступе. Если значение установлено true, то информация предназначена только для владельцев ценных бумаг, имеющих право на получение информации о данном КД, без возможности размещения ее в открытом доступе. Если признак отсутствует или установлен false, то предоставление информации о КД неограниченному кругу лиц допустимо.»</w:t>
            </w:r>
          </w:p>
        </w:tc>
        <w:tc>
          <w:tcPr>
            <w:tcW w:w="1843" w:type="dxa"/>
          </w:tcPr>
          <w:p w14:paraId="5C0826B2" w14:textId="360CA870" w:rsidR="004C6315" w:rsidRPr="004C6315" w:rsidRDefault="004C6315" w:rsidP="004C6315">
            <w:pPr>
              <w:rPr>
                <w:rFonts w:ascii="Times New Roman" w:hAnsi="Times New Roman" w:cs="Times New Roman"/>
                <w:sz w:val="20"/>
                <w:szCs w:val="20"/>
              </w:rPr>
            </w:pPr>
            <w:r w:rsidRPr="004C6315">
              <w:rPr>
                <w:rFonts w:ascii="Times New Roman" w:hAnsi="Times New Roman" w:cs="Times New Roman"/>
                <w:sz w:val="20"/>
                <w:szCs w:val="20"/>
              </w:rPr>
              <w:t>Новая редакция</w:t>
            </w:r>
          </w:p>
        </w:tc>
      </w:tr>
    </w:tbl>
    <w:p w14:paraId="08CB772D" w14:textId="277B5608" w:rsidR="002868D5" w:rsidRPr="00C55792" w:rsidRDefault="002868D5" w:rsidP="00496382">
      <w:pPr>
        <w:spacing w:after="0"/>
        <w:rPr>
          <w:rFonts w:ascii="Times New Roman" w:hAnsi="Times New Roman" w:cs="Times New Roman"/>
          <w:sz w:val="20"/>
          <w:szCs w:val="20"/>
        </w:rPr>
      </w:pPr>
    </w:p>
    <w:sectPr w:rsidR="002868D5" w:rsidRPr="00C55792" w:rsidSect="00D81B60">
      <w:footerReference w:type="default" r:id="rId11"/>
      <w:pgSz w:w="16838" w:h="11906" w:orient="landscape"/>
      <w:pgMar w:top="567" w:right="567" w:bottom="28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09507C" w14:textId="77777777" w:rsidR="005B0AE5" w:rsidRDefault="005B0AE5" w:rsidP="0087403A">
      <w:pPr>
        <w:spacing w:after="0" w:line="240" w:lineRule="auto"/>
      </w:pPr>
      <w:r>
        <w:separator/>
      </w:r>
    </w:p>
  </w:endnote>
  <w:endnote w:type="continuationSeparator" w:id="0">
    <w:p w14:paraId="068159D0" w14:textId="77777777" w:rsidR="005B0AE5" w:rsidRDefault="005B0AE5" w:rsidP="008740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6437309"/>
      <w:docPartObj>
        <w:docPartGallery w:val="Page Numbers (Bottom of Page)"/>
        <w:docPartUnique/>
      </w:docPartObj>
    </w:sdtPr>
    <w:sdtEndPr/>
    <w:sdtContent>
      <w:p w14:paraId="5BEE4BB4" w14:textId="232A99B9" w:rsidR="007729A7" w:rsidRDefault="007729A7">
        <w:pPr>
          <w:pStyle w:val="af0"/>
          <w:jc w:val="right"/>
        </w:pPr>
        <w:r>
          <w:fldChar w:fldCharType="begin"/>
        </w:r>
        <w:r>
          <w:instrText>PAGE   \* MERGEFORMAT</w:instrText>
        </w:r>
        <w:r>
          <w:fldChar w:fldCharType="separate"/>
        </w:r>
        <w:r w:rsidR="002003E3">
          <w:rPr>
            <w:noProof/>
          </w:rPr>
          <w:t>1</w:t>
        </w:r>
        <w:r>
          <w:fldChar w:fldCharType="end"/>
        </w:r>
      </w:p>
    </w:sdtContent>
  </w:sdt>
  <w:p w14:paraId="3E8E7963" w14:textId="77777777" w:rsidR="007729A7" w:rsidRDefault="007729A7">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77C12A" w14:textId="77777777" w:rsidR="005B0AE5" w:rsidRDefault="005B0AE5" w:rsidP="0087403A">
      <w:pPr>
        <w:spacing w:after="0" w:line="240" w:lineRule="auto"/>
      </w:pPr>
      <w:r>
        <w:separator/>
      </w:r>
    </w:p>
  </w:footnote>
  <w:footnote w:type="continuationSeparator" w:id="0">
    <w:p w14:paraId="5362DDA2" w14:textId="77777777" w:rsidR="005B0AE5" w:rsidRDefault="005B0AE5" w:rsidP="008740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54729"/>
    <w:multiLevelType w:val="multilevel"/>
    <w:tmpl w:val="7522FA08"/>
    <w:lvl w:ilvl="0">
      <w:start w:val="1"/>
      <w:numFmt w:val="decimal"/>
      <w:lvlText w:val="%1."/>
      <w:lvlJc w:val="left"/>
      <w:pPr>
        <w:ind w:left="751" w:hanging="360"/>
      </w:pPr>
    </w:lvl>
    <w:lvl w:ilvl="1">
      <w:start w:val="1"/>
      <w:numFmt w:val="decimal"/>
      <w:isLgl/>
      <w:lvlText w:val="%1.%2."/>
      <w:lvlJc w:val="left"/>
      <w:pPr>
        <w:ind w:left="751" w:hanging="360"/>
      </w:pPr>
      <w:rPr>
        <w:rFonts w:hint="default"/>
      </w:rPr>
    </w:lvl>
    <w:lvl w:ilvl="2">
      <w:start w:val="1"/>
      <w:numFmt w:val="decimal"/>
      <w:isLgl/>
      <w:lvlText w:val="%1.%2.%3."/>
      <w:lvlJc w:val="left"/>
      <w:pPr>
        <w:ind w:left="1111" w:hanging="720"/>
      </w:pPr>
      <w:rPr>
        <w:rFonts w:hint="default"/>
      </w:rPr>
    </w:lvl>
    <w:lvl w:ilvl="3">
      <w:start w:val="1"/>
      <w:numFmt w:val="decimal"/>
      <w:isLgl/>
      <w:lvlText w:val="%1.%2.%3.%4."/>
      <w:lvlJc w:val="left"/>
      <w:pPr>
        <w:ind w:left="1111" w:hanging="720"/>
      </w:pPr>
      <w:rPr>
        <w:rFonts w:hint="default"/>
      </w:rPr>
    </w:lvl>
    <w:lvl w:ilvl="4">
      <w:start w:val="1"/>
      <w:numFmt w:val="decimal"/>
      <w:isLgl/>
      <w:lvlText w:val="%1.%2.%3.%4.%5."/>
      <w:lvlJc w:val="left"/>
      <w:pPr>
        <w:ind w:left="1471" w:hanging="1080"/>
      </w:pPr>
      <w:rPr>
        <w:rFonts w:hint="default"/>
      </w:rPr>
    </w:lvl>
    <w:lvl w:ilvl="5">
      <w:start w:val="1"/>
      <w:numFmt w:val="decimal"/>
      <w:isLgl/>
      <w:lvlText w:val="%1.%2.%3.%4.%5.%6."/>
      <w:lvlJc w:val="left"/>
      <w:pPr>
        <w:ind w:left="1471" w:hanging="1080"/>
      </w:pPr>
      <w:rPr>
        <w:rFonts w:hint="default"/>
      </w:rPr>
    </w:lvl>
    <w:lvl w:ilvl="6">
      <w:start w:val="1"/>
      <w:numFmt w:val="decimal"/>
      <w:isLgl/>
      <w:lvlText w:val="%1.%2.%3.%4.%5.%6.%7."/>
      <w:lvlJc w:val="left"/>
      <w:pPr>
        <w:ind w:left="1471" w:hanging="1080"/>
      </w:pPr>
      <w:rPr>
        <w:rFonts w:hint="default"/>
      </w:rPr>
    </w:lvl>
    <w:lvl w:ilvl="7">
      <w:start w:val="1"/>
      <w:numFmt w:val="decimal"/>
      <w:isLgl/>
      <w:lvlText w:val="%1.%2.%3.%4.%5.%6.%7.%8."/>
      <w:lvlJc w:val="left"/>
      <w:pPr>
        <w:ind w:left="1831" w:hanging="1440"/>
      </w:pPr>
      <w:rPr>
        <w:rFonts w:hint="default"/>
      </w:rPr>
    </w:lvl>
    <w:lvl w:ilvl="8">
      <w:start w:val="1"/>
      <w:numFmt w:val="decimal"/>
      <w:isLgl/>
      <w:lvlText w:val="%1.%2.%3.%4.%5.%6.%7.%8.%9."/>
      <w:lvlJc w:val="left"/>
      <w:pPr>
        <w:ind w:left="1831" w:hanging="1440"/>
      </w:pPr>
      <w:rPr>
        <w:rFonts w:hint="default"/>
      </w:rPr>
    </w:lvl>
  </w:abstractNum>
  <w:abstractNum w:abstractNumId="1" w15:restartNumberingAfterBreak="0">
    <w:nsid w:val="04C76C4E"/>
    <w:multiLevelType w:val="hybridMultilevel"/>
    <w:tmpl w:val="719A99EC"/>
    <w:lvl w:ilvl="0" w:tplc="04190001">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 w15:restartNumberingAfterBreak="0">
    <w:nsid w:val="0F0E2E1C"/>
    <w:multiLevelType w:val="hybridMultilevel"/>
    <w:tmpl w:val="77845F44"/>
    <w:lvl w:ilvl="0" w:tplc="0419000F">
      <w:start w:val="1"/>
      <w:numFmt w:val="decimal"/>
      <w:lvlText w:val="%1."/>
      <w:lvlJc w:val="left"/>
      <w:pPr>
        <w:ind w:left="751" w:hanging="360"/>
      </w:pPr>
    </w:lvl>
    <w:lvl w:ilvl="1" w:tplc="04190019" w:tentative="1">
      <w:start w:val="1"/>
      <w:numFmt w:val="lowerLetter"/>
      <w:lvlText w:val="%2."/>
      <w:lvlJc w:val="left"/>
      <w:pPr>
        <w:ind w:left="1471" w:hanging="360"/>
      </w:pPr>
    </w:lvl>
    <w:lvl w:ilvl="2" w:tplc="0419001B" w:tentative="1">
      <w:start w:val="1"/>
      <w:numFmt w:val="lowerRoman"/>
      <w:lvlText w:val="%3."/>
      <w:lvlJc w:val="right"/>
      <w:pPr>
        <w:ind w:left="2191" w:hanging="180"/>
      </w:pPr>
    </w:lvl>
    <w:lvl w:ilvl="3" w:tplc="0419000F" w:tentative="1">
      <w:start w:val="1"/>
      <w:numFmt w:val="decimal"/>
      <w:lvlText w:val="%4."/>
      <w:lvlJc w:val="left"/>
      <w:pPr>
        <w:ind w:left="2911" w:hanging="360"/>
      </w:pPr>
    </w:lvl>
    <w:lvl w:ilvl="4" w:tplc="04190019" w:tentative="1">
      <w:start w:val="1"/>
      <w:numFmt w:val="lowerLetter"/>
      <w:lvlText w:val="%5."/>
      <w:lvlJc w:val="left"/>
      <w:pPr>
        <w:ind w:left="3631" w:hanging="360"/>
      </w:pPr>
    </w:lvl>
    <w:lvl w:ilvl="5" w:tplc="0419001B" w:tentative="1">
      <w:start w:val="1"/>
      <w:numFmt w:val="lowerRoman"/>
      <w:lvlText w:val="%6."/>
      <w:lvlJc w:val="right"/>
      <w:pPr>
        <w:ind w:left="4351" w:hanging="180"/>
      </w:pPr>
    </w:lvl>
    <w:lvl w:ilvl="6" w:tplc="0419000F" w:tentative="1">
      <w:start w:val="1"/>
      <w:numFmt w:val="decimal"/>
      <w:lvlText w:val="%7."/>
      <w:lvlJc w:val="left"/>
      <w:pPr>
        <w:ind w:left="5071" w:hanging="360"/>
      </w:pPr>
    </w:lvl>
    <w:lvl w:ilvl="7" w:tplc="04190019" w:tentative="1">
      <w:start w:val="1"/>
      <w:numFmt w:val="lowerLetter"/>
      <w:lvlText w:val="%8."/>
      <w:lvlJc w:val="left"/>
      <w:pPr>
        <w:ind w:left="5791" w:hanging="360"/>
      </w:pPr>
    </w:lvl>
    <w:lvl w:ilvl="8" w:tplc="0419001B" w:tentative="1">
      <w:start w:val="1"/>
      <w:numFmt w:val="lowerRoman"/>
      <w:lvlText w:val="%9."/>
      <w:lvlJc w:val="right"/>
      <w:pPr>
        <w:ind w:left="6511" w:hanging="180"/>
      </w:pPr>
    </w:lvl>
  </w:abstractNum>
  <w:abstractNum w:abstractNumId="3" w15:restartNumberingAfterBreak="0">
    <w:nsid w:val="0FA449D2"/>
    <w:multiLevelType w:val="hybridMultilevel"/>
    <w:tmpl w:val="635AF086"/>
    <w:lvl w:ilvl="0" w:tplc="04190001">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18467A8B"/>
    <w:multiLevelType w:val="hybridMultilevel"/>
    <w:tmpl w:val="146492F0"/>
    <w:lvl w:ilvl="0" w:tplc="04190001">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5" w15:restartNumberingAfterBreak="0">
    <w:nsid w:val="1C4D7384"/>
    <w:multiLevelType w:val="hybridMultilevel"/>
    <w:tmpl w:val="CF86D900"/>
    <w:lvl w:ilvl="0" w:tplc="04190001">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6" w15:restartNumberingAfterBreak="0">
    <w:nsid w:val="2BB73AF3"/>
    <w:multiLevelType w:val="hybridMultilevel"/>
    <w:tmpl w:val="7818D4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F4A5FA0"/>
    <w:multiLevelType w:val="hybridMultilevel"/>
    <w:tmpl w:val="9580DADC"/>
    <w:lvl w:ilvl="0" w:tplc="04190001">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8" w15:restartNumberingAfterBreak="0">
    <w:nsid w:val="3A3C3E2C"/>
    <w:multiLevelType w:val="hybridMultilevel"/>
    <w:tmpl w:val="A444764C"/>
    <w:lvl w:ilvl="0" w:tplc="04190001">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9" w15:restartNumberingAfterBreak="0">
    <w:nsid w:val="3C7179C7"/>
    <w:multiLevelType w:val="hybridMultilevel"/>
    <w:tmpl w:val="1BAC0FE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0" w15:restartNumberingAfterBreak="0">
    <w:nsid w:val="3D885164"/>
    <w:multiLevelType w:val="hybridMultilevel"/>
    <w:tmpl w:val="64B01744"/>
    <w:lvl w:ilvl="0" w:tplc="B5D8BA2C">
      <w:start w:val="1"/>
      <w:numFmt w:val="decimal"/>
      <w:pStyle w:val="a"/>
      <w:lvlText w:val="%1."/>
      <w:lvlJc w:val="left"/>
      <w:pPr>
        <w:ind w:left="751" w:hanging="360"/>
      </w:pPr>
    </w:lvl>
    <w:lvl w:ilvl="1" w:tplc="04190019" w:tentative="1">
      <w:start w:val="1"/>
      <w:numFmt w:val="lowerLetter"/>
      <w:lvlText w:val="%2."/>
      <w:lvlJc w:val="left"/>
      <w:pPr>
        <w:ind w:left="1471" w:hanging="360"/>
      </w:pPr>
    </w:lvl>
    <w:lvl w:ilvl="2" w:tplc="0419001B" w:tentative="1">
      <w:start w:val="1"/>
      <w:numFmt w:val="lowerRoman"/>
      <w:lvlText w:val="%3."/>
      <w:lvlJc w:val="right"/>
      <w:pPr>
        <w:ind w:left="2191" w:hanging="180"/>
      </w:pPr>
    </w:lvl>
    <w:lvl w:ilvl="3" w:tplc="0419000F" w:tentative="1">
      <w:start w:val="1"/>
      <w:numFmt w:val="decimal"/>
      <w:lvlText w:val="%4."/>
      <w:lvlJc w:val="left"/>
      <w:pPr>
        <w:ind w:left="2911" w:hanging="360"/>
      </w:pPr>
    </w:lvl>
    <w:lvl w:ilvl="4" w:tplc="04190019" w:tentative="1">
      <w:start w:val="1"/>
      <w:numFmt w:val="lowerLetter"/>
      <w:lvlText w:val="%5."/>
      <w:lvlJc w:val="left"/>
      <w:pPr>
        <w:ind w:left="3631" w:hanging="360"/>
      </w:pPr>
    </w:lvl>
    <w:lvl w:ilvl="5" w:tplc="0419001B" w:tentative="1">
      <w:start w:val="1"/>
      <w:numFmt w:val="lowerRoman"/>
      <w:lvlText w:val="%6."/>
      <w:lvlJc w:val="right"/>
      <w:pPr>
        <w:ind w:left="4351" w:hanging="180"/>
      </w:pPr>
    </w:lvl>
    <w:lvl w:ilvl="6" w:tplc="0419000F" w:tentative="1">
      <w:start w:val="1"/>
      <w:numFmt w:val="decimal"/>
      <w:lvlText w:val="%7."/>
      <w:lvlJc w:val="left"/>
      <w:pPr>
        <w:ind w:left="5071" w:hanging="360"/>
      </w:pPr>
    </w:lvl>
    <w:lvl w:ilvl="7" w:tplc="04190019" w:tentative="1">
      <w:start w:val="1"/>
      <w:numFmt w:val="lowerLetter"/>
      <w:lvlText w:val="%8."/>
      <w:lvlJc w:val="left"/>
      <w:pPr>
        <w:ind w:left="5791" w:hanging="360"/>
      </w:pPr>
    </w:lvl>
    <w:lvl w:ilvl="8" w:tplc="0419001B" w:tentative="1">
      <w:start w:val="1"/>
      <w:numFmt w:val="lowerRoman"/>
      <w:lvlText w:val="%9."/>
      <w:lvlJc w:val="right"/>
      <w:pPr>
        <w:ind w:left="6511" w:hanging="180"/>
      </w:pPr>
    </w:lvl>
  </w:abstractNum>
  <w:abstractNum w:abstractNumId="11" w15:restartNumberingAfterBreak="0">
    <w:nsid w:val="4A5E44C3"/>
    <w:multiLevelType w:val="hybridMultilevel"/>
    <w:tmpl w:val="77845F44"/>
    <w:lvl w:ilvl="0" w:tplc="0419000F">
      <w:start w:val="1"/>
      <w:numFmt w:val="decimal"/>
      <w:lvlText w:val="%1."/>
      <w:lvlJc w:val="left"/>
      <w:pPr>
        <w:ind w:left="751" w:hanging="360"/>
      </w:pPr>
    </w:lvl>
    <w:lvl w:ilvl="1" w:tplc="04190019" w:tentative="1">
      <w:start w:val="1"/>
      <w:numFmt w:val="lowerLetter"/>
      <w:lvlText w:val="%2."/>
      <w:lvlJc w:val="left"/>
      <w:pPr>
        <w:ind w:left="1471" w:hanging="360"/>
      </w:pPr>
    </w:lvl>
    <w:lvl w:ilvl="2" w:tplc="0419001B" w:tentative="1">
      <w:start w:val="1"/>
      <w:numFmt w:val="lowerRoman"/>
      <w:lvlText w:val="%3."/>
      <w:lvlJc w:val="right"/>
      <w:pPr>
        <w:ind w:left="2191" w:hanging="180"/>
      </w:pPr>
    </w:lvl>
    <w:lvl w:ilvl="3" w:tplc="0419000F" w:tentative="1">
      <w:start w:val="1"/>
      <w:numFmt w:val="decimal"/>
      <w:lvlText w:val="%4."/>
      <w:lvlJc w:val="left"/>
      <w:pPr>
        <w:ind w:left="2911" w:hanging="360"/>
      </w:pPr>
    </w:lvl>
    <w:lvl w:ilvl="4" w:tplc="04190019" w:tentative="1">
      <w:start w:val="1"/>
      <w:numFmt w:val="lowerLetter"/>
      <w:lvlText w:val="%5."/>
      <w:lvlJc w:val="left"/>
      <w:pPr>
        <w:ind w:left="3631" w:hanging="360"/>
      </w:pPr>
    </w:lvl>
    <w:lvl w:ilvl="5" w:tplc="0419001B" w:tentative="1">
      <w:start w:val="1"/>
      <w:numFmt w:val="lowerRoman"/>
      <w:lvlText w:val="%6."/>
      <w:lvlJc w:val="right"/>
      <w:pPr>
        <w:ind w:left="4351" w:hanging="180"/>
      </w:pPr>
    </w:lvl>
    <w:lvl w:ilvl="6" w:tplc="0419000F" w:tentative="1">
      <w:start w:val="1"/>
      <w:numFmt w:val="decimal"/>
      <w:lvlText w:val="%7."/>
      <w:lvlJc w:val="left"/>
      <w:pPr>
        <w:ind w:left="5071" w:hanging="360"/>
      </w:pPr>
    </w:lvl>
    <w:lvl w:ilvl="7" w:tplc="04190019" w:tentative="1">
      <w:start w:val="1"/>
      <w:numFmt w:val="lowerLetter"/>
      <w:lvlText w:val="%8."/>
      <w:lvlJc w:val="left"/>
      <w:pPr>
        <w:ind w:left="5791" w:hanging="360"/>
      </w:pPr>
    </w:lvl>
    <w:lvl w:ilvl="8" w:tplc="0419001B" w:tentative="1">
      <w:start w:val="1"/>
      <w:numFmt w:val="lowerRoman"/>
      <w:lvlText w:val="%9."/>
      <w:lvlJc w:val="right"/>
      <w:pPr>
        <w:ind w:left="6511" w:hanging="180"/>
      </w:pPr>
    </w:lvl>
  </w:abstractNum>
  <w:abstractNum w:abstractNumId="12" w15:restartNumberingAfterBreak="0">
    <w:nsid w:val="658150B9"/>
    <w:multiLevelType w:val="multilevel"/>
    <w:tmpl w:val="7522FA08"/>
    <w:lvl w:ilvl="0">
      <w:start w:val="1"/>
      <w:numFmt w:val="decimal"/>
      <w:lvlText w:val="%1."/>
      <w:lvlJc w:val="left"/>
      <w:pPr>
        <w:ind w:left="751" w:hanging="360"/>
      </w:pPr>
    </w:lvl>
    <w:lvl w:ilvl="1">
      <w:start w:val="1"/>
      <w:numFmt w:val="decimal"/>
      <w:isLgl/>
      <w:lvlText w:val="%1.%2."/>
      <w:lvlJc w:val="left"/>
      <w:pPr>
        <w:ind w:left="751" w:hanging="360"/>
      </w:pPr>
      <w:rPr>
        <w:rFonts w:hint="default"/>
      </w:rPr>
    </w:lvl>
    <w:lvl w:ilvl="2">
      <w:start w:val="1"/>
      <w:numFmt w:val="decimal"/>
      <w:isLgl/>
      <w:lvlText w:val="%1.%2.%3."/>
      <w:lvlJc w:val="left"/>
      <w:pPr>
        <w:ind w:left="1111" w:hanging="720"/>
      </w:pPr>
      <w:rPr>
        <w:rFonts w:hint="default"/>
      </w:rPr>
    </w:lvl>
    <w:lvl w:ilvl="3">
      <w:start w:val="1"/>
      <w:numFmt w:val="decimal"/>
      <w:isLgl/>
      <w:lvlText w:val="%1.%2.%3.%4."/>
      <w:lvlJc w:val="left"/>
      <w:pPr>
        <w:ind w:left="1111" w:hanging="720"/>
      </w:pPr>
      <w:rPr>
        <w:rFonts w:hint="default"/>
      </w:rPr>
    </w:lvl>
    <w:lvl w:ilvl="4">
      <w:start w:val="1"/>
      <w:numFmt w:val="decimal"/>
      <w:isLgl/>
      <w:lvlText w:val="%1.%2.%3.%4.%5."/>
      <w:lvlJc w:val="left"/>
      <w:pPr>
        <w:ind w:left="1471" w:hanging="1080"/>
      </w:pPr>
      <w:rPr>
        <w:rFonts w:hint="default"/>
      </w:rPr>
    </w:lvl>
    <w:lvl w:ilvl="5">
      <w:start w:val="1"/>
      <w:numFmt w:val="decimal"/>
      <w:isLgl/>
      <w:lvlText w:val="%1.%2.%3.%4.%5.%6."/>
      <w:lvlJc w:val="left"/>
      <w:pPr>
        <w:ind w:left="1471" w:hanging="1080"/>
      </w:pPr>
      <w:rPr>
        <w:rFonts w:hint="default"/>
      </w:rPr>
    </w:lvl>
    <w:lvl w:ilvl="6">
      <w:start w:val="1"/>
      <w:numFmt w:val="decimal"/>
      <w:isLgl/>
      <w:lvlText w:val="%1.%2.%3.%4.%5.%6.%7."/>
      <w:lvlJc w:val="left"/>
      <w:pPr>
        <w:ind w:left="1471" w:hanging="1080"/>
      </w:pPr>
      <w:rPr>
        <w:rFonts w:hint="default"/>
      </w:rPr>
    </w:lvl>
    <w:lvl w:ilvl="7">
      <w:start w:val="1"/>
      <w:numFmt w:val="decimal"/>
      <w:isLgl/>
      <w:lvlText w:val="%1.%2.%3.%4.%5.%6.%7.%8."/>
      <w:lvlJc w:val="left"/>
      <w:pPr>
        <w:ind w:left="1831" w:hanging="1440"/>
      </w:pPr>
      <w:rPr>
        <w:rFonts w:hint="default"/>
      </w:rPr>
    </w:lvl>
    <w:lvl w:ilvl="8">
      <w:start w:val="1"/>
      <w:numFmt w:val="decimal"/>
      <w:isLgl/>
      <w:lvlText w:val="%1.%2.%3.%4.%5.%6.%7.%8.%9."/>
      <w:lvlJc w:val="left"/>
      <w:pPr>
        <w:ind w:left="1831" w:hanging="1440"/>
      </w:pPr>
      <w:rPr>
        <w:rFonts w:hint="default"/>
      </w:rPr>
    </w:lvl>
  </w:abstractNum>
  <w:num w:numId="1">
    <w:abstractNumId w:val="0"/>
  </w:num>
  <w:num w:numId="2">
    <w:abstractNumId w:val="10"/>
  </w:num>
  <w:num w:numId="3">
    <w:abstractNumId w:val="6"/>
  </w:num>
  <w:num w:numId="4">
    <w:abstractNumId w:val="11"/>
  </w:num>
  <w:num w:numId="5">
    <w:abstractNumId w:val="1"/>
  </w:num>
  <w:num w:numId="6">
    <w:abstractNumId w:val="4"/>
  </w:num>
  <w:num w:numId="7">
    <w:abstractNumId w:val="7"/>
  </w:num>
  <w:num w:numId="8">
    <w:abstractNumId w:val="8"/>
  </w:num>
  <w:num w:numId="9">
    <w:abstractNumId w:val="12"/>
  </w:num>
  <w:num w:numId="10">
    <w:abstractNumId w:val="2"/>
  </w:num>
  <w:num w:numId="11">
    <w:abstractNumId w:val="5"/>
  </w:num>
  <w:num w:numId="12">
    <w:abstractNumId w:val="9"/>
  </w:num>
  <w:num w:numId="13">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403A"/>
    <w:rsid w:val="00005F51"/>
    <w:rsid w:val="00007C95"/>
    <w:rsid w:val="0001224D"/>
    <w:rsid w:val="00017DA7"/>
    <w:rsid w:val="000243BA"/>
    <w:rsid w:val="000314CE"/>
    <w:rsid w:val="00031DAB"/>
    <w:rsid w:val="00041980"/>
    <w:rsid w:val="00042CBB"/>
    <w:rsid w:val="00046A06"/>
    <w:rsid w:val="00052414"/>
    <w:rsid w:val="00052B93"/>
    <w:rsid w:val="0006236E"/>
    <w:rsid w:val="0006390E"/>
    <w:rsid w:val="00065CB3"/>
    <w:rsid w:val="000673C7"/>
    <w:rsid w:val="000723DA"/>
    <w:rsid w:val="00073723"/>
    <w:rsid w:val="00085B3E"/>
    <w:rsid w:val="00085C53"/>
    <w:rsid w:val="00086627"/>
    <w:rsid w:val="00087544"/>
    <w:rsid w:val="0008761F"/>
    <w:rsid w:val="00094BBF"/>
    <w:rsid w:val="00097F35"/>
    <w:rsid w:val="000A1C11"/>
    <w:rsid w:val="000A57B2"/>
    <w:rsid w:val="000B41A8"/>
    <w:rsid w:val="000B6F4D"/>
    <w:rsid w:val="000C0A0D"/>
    <w:rsid w:val="000D11EF"/>
    <w:rsid w:val="000D2563"/>
    <w:rsid w:val="000D5B43"/>
    <w:rsid w:val="000E2CA3"/>
    <w:rsid w:val="000E7CDB"/>
    <w:rsid w:val="000F0D57"/>
    <w:rsid w:val="000F10BE"/>
    <w:rsid w:val="000F4241"/>
    <w:rsid w:val="000F472D"/>
    <w:rsid w:val="000F703E"/>
    <w:rsid w:val="000F7423"/>
    <w:rsid w:val="00111BA0"/>
    <w:rsid w:val="00112FDF"/>
    <w:rsid w:val="00115C2C"/>
    <w:rsid w:val="00116A2C"/>
    <w:rsid w:val="00116AB1"/>
    <w:rsid w:val="001316DB"/>
    <w:rsid w:val="00134313"/>
    <w:rsid w:val="0014721F"/>
    <w:rsid w:val="001566DD"/>
    <w:rsid w:val="00160DE9"/>
    <w:rsid w:val="00163C3D"/>
    <w:rsid w:val="00171068"/>
    <w:rsid w:val="00174AA7"/>
    <w:rsid w:val="001825D3"/>
    <w:rsid w:val="001856FE"/>
    <w:rsid w:val="001B0D53"/>
    <w:rsid w:val="001B3A3D"/>
    <w:rsid w:val="001C16C5"/>
    <w:rsid w:val="001C1DFA"/>
    <w:rsid w:val="001C2E0F"/>
    <w:rsid w:val="001C5B0D"/>
    <w:rsid w:val="001C7AF6"/>
    <w:rsid w:val="001D20D9"/>
    <w:rsid w:val="001D370E"/>
    <w:rsid w:val="001E15BE"/>
    <w:rsid w:val="001E4B40"/>
    <w:rsid w:val="001E5955"/>
    <w:rsid w:val="001E5DD1"/>
    <w:rsid w:val="001F128F"/>
    <w:rsid w:val="001F1CD4"/>
    <w:rsid w:val="001F7CB0"/>
    <w:rsid w:val="002003E3"/>
    <w:rsid w:val="002011E5"/>
    <w:rsid w:val="00204C01"/>
    <w:rsid w:val="00220B77"/>
    <w:rsid w:val="00220FA0"/>
    <w:rsid w:val="00221F80"/>
    <w:rsid w:val="00223D63"/>
    <w:rsid w:val="00233B8D"/>
    <w:rsid w:val="00243C99"/>
    <w:rsid w:val="00244EA2"/>
    <w:rsid w:val="00252D88"/>
    <w:rsid w:val="002532C9"/>
    <w:rsid w:val="00255DA5"/>
    <w:rsid w:val="00256E9B"/>
    <w:rsid w:val="002610D3"/>
    <w:rsid w:val="0026160B"/>
    <w:rsid w:val="00263791"/>
    <w:rsid w:val="00265C88"/>
    <w:rsid w:val="00276480"/>
    <w:rsid w:val="002800E3"/>
    <w:rsid w:val="00280158"/>
    <w:rsid w:val="002868D5"/>
    <w:rsid w:val="00286F4B"/>
    <w:rsid w:val="002952F6"/>
    <w:rsid w:val="002A0FE9"/>
    <w:rsid w:val="002A74F0"/>
    <w:rsid w:val="002B03B6"/>
    <w:rsid w:val="002C3E0A"/>
    <w:rsid w:val="002D2032"/>
    <w:rsid w:val="002E00F3"/>
    <w:rsid w:val="002E1EE4"/>
    <w:rsid w:val="002E2C4E"/>
    <w:rsid w:val="002F2246"/>
    <w:rsid w:val="002F619B"/>
    <w:rsid w:val="00304B2D"/>
    <w:rsid w:val="00311ECC"/>
    <w:rsid w:val="00312DA3"/>
    <w:rsid w:val="00314458"/>
    <w:rsid w:val="003169B3"/>
    <w:rsid w:val="0032013E"/>
    <w:rsid w:val="0032178E"/>
    <w:rsid w:val="003225BD"/>
    <w:rsid w:val="00322948"/>
    <w:rsid w:val="0032521C"/>
    <w:rsid w:val="00327FA5"/>
    <w:rsid w:val="003311A9"/>
    <w:rsid w:val="00331DAF"/>
    <w:rsid w:val="00343D14"/>
    <w:rsid w:val="00345056"/>
    <w:rsid w:val="003453C5"/>
    <w:rsid w:val="00351088"/>
    <w:rsid w:val="00353771"/>
    <w:rsid w:val="003565BB"/>
    <w:rsid w:val="0036691E"/>
    <w:rsid w:val="00371ED6"/>
    <w:rsid w:val="00372C62"/>
    <w:rsid w:val="00375F52"/>
    <w:rsid w:val="0038184E"/>
    <w:rsid w:val="00385DDC"/>
    <w:rsid w:val="00386FC1"/>
    <w:rsid w:val="0039586C"/>
    <w:rsid w:val="00395CD2"/>
    <w:rsid w:val="003974B5"/>
    <w:rsid w:val="003A1B70"/>
    <w:rsid w:val="003A38B2"/>
    <w:rsid w:val="003A4EF3"/>
    <w:rsid w:val="003A5FFB"/>
    <w:rsid w:val="003B625C"/>
    <w:rsid w:val="003C5AEC"/>
    <w:rsid w:val="003C779C"/>
    <w:rsid w:val="003F55CD"/>
    <w:rsid w:val="003F5673"/>
    <w:rsid w:val="00402C4A"/>
    <w:rsid w:val="00403534"/>
    <w:rsid w:val="00412FDF"/>
    <w:rsid w:val="004140A2"/>
    <w:rsid w:val="00421C84"/>
    <w:rsid w:val="0042592B"/>
    <w:rsid w:val="00432541"/>
    <w:rsid w:val="004339F0"/>
    <w:rsid w:val="0044470E"/>
    <w:rsid w:val="00450716"/>
    <w:rsid w:val="004623A1"/>
    <w:rsid w:val="00464372"/>
    <w:rsid w:val="004701CF"/>
    <w:rsid w:val="00480397"/>
    <w:rsid w:val="00481C05"/>
    <w:rsid w:val="004837FC"/>
    <w:rsid w:val="00490261"/>
    <w:rsid w:val="00490D14"/>
    <w:rsid w:val="0049234F"/>
    <w:rsid w:val="00492CEE"/>
    <w:rsid w:val="00495BF9"/>
    <w:rsid w:val="00496382"/>
    <w:rsid w:val="004A0F9A"/>
    <w:rsid w:val="004B1828"/>
    <w:rsid w:val="004B2A88"/>
    <w:rsid w:val="004B4ECB"/>
    <w:rsid w:val="004B6FF0"/>
    <w:rsid w:val="004B7BAC"/>
    <w:rsid w:val="004C1526"/>
    <w:rsid w:val="004C25F7"/>
    <w:rsid w:val="004C306B"/>
    <w:rsid w:val="004C3DA5"/>
    <w:rsid w:val="004C6315"/>
    <w:rsid w:val="004C6980"/>
    <w:rsid w:val="004D389F"/>
    <w:rsid w:val="004D484F"/>
    <w:rsid w:val="004D62CE"/>
    <w:rsid w:val="004D6F59"/>
    <w:rsid w:val="004E22D5"/>
    <w:rsid w:val="004E23AC"/>
    <w:rsid w:val="004E3922"/>
    <w:rsid w:val="004E66B1"/>
    <w:rsid w:val="004F0FD4"/>
    <w:rsid w:val="004F6CE8"/>
    <w:rsid w:val="00510305"/>
    <w:rsid w:val="005169AE"/>
    <w:rsid w:val="005238D8"/>
    <w:rsid w:val="00524DCC"/>
    <w:rsid w:val="005461B8"/>
    <w:rsid w:val="00547336"/>
    <w:rsid w:val="00547D9E"/>
    <w:rsid w:val="0058001D"/>
    <w:rsid w:val="00583C6E"/>
    <w:rsid w:val="0058468F"/>
    <w:rsid w:val="0059059A"/>
    <w:rsid w:val="00593BCF"/>
    <w:rsid w:val="005A0854"/>
    <w:rsid w:val="005A2533"/>
    <w:rsid w:val="005B0AE5"/>
    <w:rsid w:val="005B1F03"/>
    <w:rsid w:val="005B6F80"/>
    <w:rsid w:val="005B7C24"/>
    <w:rsid w:val="005C2709"/>
    <w:rsid w:val="005C7061"/>
    <w:rsid w:val="005C73DA"/>
    <w:rsid w:val="005D6D80"/>
    <w:rsid w:val="005D6F47"/>
    <w:rsid w:val="005D71F7"/>
    <w:rsid w:val="005E0729"/>
    <w:rsid w:val="005E3ACB"/>
    <w:rsid w:val="005E72D7"/>
    <w:rsid w:val="005F768A"/>
    <w:rsid w:val="005F7B63"/>
    <w:rsid w:val="0060068A"/>
    <w:rsid w:val="00604847"/>
    <w:rsid w:val="00613472"/>
    <w:rsid w:val="00621E28"/>
    <w:rsid w:val="00623913"/>
    <w:rsid w:val="00625670"/>
    <w:rsid w:val="00642FBC"/>
    <w:rsid w:val="00644A97"/>
    <w:rsid w:val="0064590D"/>
    <w:rsid w:val="006459BA"/>
    <w:rsid w:val="00662EB6"/>
    <w:rsid w:val="0066569E"/>
    <w:rsid w:val="00674C34"/>
    <w:rsid w:val="006801A1"/>
    <w:rsid w:val="006871B0"/>
    <w:rsid w:val="0068729F"/>
    <w:rsid w:val="00690239"/>
    <w:rsid w:val="0069758F"/>
    <w:rsid w:val="006A6940"/>
    <w:rsid w:val="006B4E62"/>
    <w:rsid w:val="006D2AAA"/>
    <w:rsid w:val="006D69D2"/>
    <w:rsid w:val="006D7015"/>
    <w:rsid w:val="006D7034"/>
    <w:rsid w:val="006E135E"/>
    <w:rsid w:val="006E5028"/>
    <w:rsid w:val="006E7899"/>
    <w:rsid w:val="006E7B0D"/>
    <w:rsid w:val="006F3D1E"/>
    <w:rsid w:val="006F56F2"/>
    <w:rsid w:val="006F6BE5"/>
    <w:rsid w:val="00700EF5"/>
    <w:rsid w:val="0070473C"/>
    <w:rsid w:val="00706509"/>
    <w:rsid w:val="00706DEF"/>
    <w:rsid w:val="00714A39"/>
    <w:rsid w:val="00714FEC"/>
    <w:rsid w:val="0072536F"/>
    <w:rsid w:val="00725783"/>
    <w:rsid w:val="0073444D"/>
    <w:rsid w:val="00735C89"/>
    <w:rsid w:val="0073600E"/>
    <w:rsid w:val="00741B60"/>
    <w:rsid w:val="007538B6"/>
    <w:rsid w:val="0076239A"/>
    <w:rsid w:val="007650AE"/>
    <w:rsid w:val="00766721"/>
    <w:rsid w:val="00771A84"/>
    <w:rsid w:val="007729A7"/>
    <w:rsid w:val="007739D6"/>
    <w:rsid w:val="007754B5"/>
    <w:rsid w:val="00781C26"/>
    <w:rsid w:val="00784776"/>
    <w:rsid w:val="00784AB5"/>
    <w:rsid w:val="00785293"/>
    <w:rsid w:val="00787491"/>
    <w:rsid w:val="00787EB8"/>
    <w:rsid w:val="007B3FEB"/>
    <w:rsid w:val="007C4250"/>
    <w:rsid w:val="007D4087"/>
    <w:rsid w:val="007F1A77"/>
    <w:rsid w:val="007F4F62"/>
    <w:rsid w:val="007F7308"/>
    <w:rsid w:val="007F768F"/>
    <w:rsid w:val="0080482B"/>
    <w:rsid w:val="0080694B"/>
    <w:rsid w:val="00816299"/>
    <w:rsid w:val="008166C5"/>
    <w:rsid w:val="00816AB5"/>
    <w:rsid w:val="00820DF4"/>
    <w:rsid w:val="00824FB0"/>
    <w:rsid w:val="00826F07"/>
    <w:rsid w:val="00830D59"/>
    <w:rsid w:val="00832400"/>
    <w:rsid w:val="00833FC3"/>
    <w:rsid w:val="00845E26"/>
    <w:rsid w:val="0085239C"/>
    <w:rsid w:val="00854FD4"/>
    <w:rsid w:val="0085628E"/>
    <w:rsid w:val="008613B1"/>
    <w:rsid w:val="00871CF8"/>
    <w:rsid w:val="0087403A"/>
    <w:rsid w:val="008747E6"/>
    <w:rsid w:val="00875693"/>
    <w:rsid w:val="00877E66"/>
    <w:rsid w:val="00882926"/>
    <w:rsid w:val="00884873"/>
    <w:rsid w:val="00891F5C"/>
    <w:rsid w:val="00893D9D"/>
    <w:rsid w:val="00895890"/>
    <w:rsid w:val="00896D37"/>
    <w:rsid w:val="008A6A29"/>
    <w:rsid w:val="008B001A"/>
    <w:rsid w:val="008B023D"/>
    <w:rsid w:val="008B1E78"/>
    <w:rsid w:val="008B3B99"/>
    <w:rsid w:val="008B5091"/>
    <w:rsid w:val="008C06E1"/>
    <w:rsid w:val="008C3108"/>
    <w:rsid w:val="008C47CA"/>
    <w:rsid w:val="008C5E3E"/>
    <w:rsid w:val="008D05DC"/>
    <w:rsid w:val="008D1BE7"/>
    <w:rsid w:val="008E674F"/>
    <w:rsid w:val="008F0E2C"/>
    <w:rsid w:val="008F3852"/>
    <w:rsid w:val="00900AF8"/>
    <w:rsid w:val="0090128E"/>
    <w:rsid w:val="009015C8"/>
    <w:rsid w:val="009123D9"/>
    <w:rsid w:val="009175DF"/>
    <w:rsid w:val="00920862"/>
    <w:rsid w:val="00925481"/>
    <w:rsid w:val="00931E1D"/>
    <w:rsid w:val="009336BB"/>
    <w:rsid w:val="00937127"/>
    <w:rsid w:val="0093760A"/>
    <w:rsid w:val="00940048"/>
    <w:rsid w:val="009440FC"/>
    <w:rsid w:val="009459CC"/>
    <w:rsid w:val="00950AA8"/>
    <w:rsid w:val="00951243"/>
    <w:rsid w:val="009532D5"/>
    <w:rsid w:val="00960106"/>
    <w:rsid w:val="00962C30"/>
    <w:rsid w:val="00965B7B"/>
    <w:rsid w:val="00980911"/>
    <w:rsid w:val="00983F22"/>
    <w:rsid w:val="00984B1A"/>
    <w:rsid w:val="009851CD"/>
    <w:rsid w:val="009875A4"/>
    <w:rsid w:val="00992839"/>
    <w:rsid w:val="00992EAF"/>
    <w:rsid w:val="009A007A"/>
    <w:rsid w:val="009B2BFF"/>
    <w:rsid w:val="009B4801"/>
    <w:rsid w:val="009B6B17"/>
    <w:rsid w:val="009B701A"/>
    <w:rsid w:val="009C1706"/>
    <w:rsid w:val="009C1A25"/>
    <w:rsid w:val="009D023D"/>
    <w:rsid w:val="009D46A9"/>
    <w:rsid w:val="009D5B97"/>
    <w:rsid w:val="009D72EF"/>
    <w:rsid w:val="009E2C9D"/>
    <w:rsid w:val="009E6447"/>
    <w:rsid w:val="009F0FC6"/>
    <w:rsid w:val="009F1380"/>
    <w:rsid w:val="009F34EA"/>
    <w:rsid w:val="009F3790"/>
    <w:rsid w:val="009F4368"/>
    <w:rsid w:val="009F4717"/>
    <w:rsid w:val="009F7D8A"/>
    <w:rsid w:val="00A02342"/>
    <w:rsid w:val="00A03273"/>
    <w:rsid w:val="00A03840"/>
    <w:rsid w:val="00A038A5"/>
    <w:rsid w:val="00A10BE0"/>
    <w:rsid w:val="00A13577"/>
    <w:rsid w:val="00A175C2"/>
    <w:rsid w:val="00A30178"/>
    <w:rsid w:val="00A3328C"/>
    <w:rsid w:val="00A40F82"/>
    <w:rsid w:val="00A441CD"/>
    <w:rsid w:val="00A534DC"/>
    <w:rsid w:val="00A62C6B"/>
    <w:rsid w:val="00A67BC9"/>
    <w:rsid w:val="00A67FC4"/>
    <w:rsid w:val="00A83174"/>
    <w:rsid w:val="00A83542"/>
    <w:rsid w:val="00A92BDE"/>
    <w:rsid w:val="00A9363A"/>
    <w:rsid w:val="00A95652"/>
    <w:rsid w:val="00AA064B"/>
    <w:rsid w:val="00AB1FF4"/>
    <w:rsid w:val="00AB3F64"/>
    <w:rsid w:val="00AB474B"/>
    <w:rsid w:val="00AC4256"/>
    <w:rsid w:val="00AC4717"/>
    <w:rsid w:val="00AC5761"/>
    <w:rsid w:val="00AE53B0"/>
    <w:rsid w:val="00AE65AD"/>
    <w:rsid w:val="00AF35C9"/>
    <w:rsid w:val="00AF5360"/>
    <w:rsid w:val="00AF78AE"/>
    <w:rsid w:val="00B00139"/>
    <w:rsid w:val="00B007ED"/>
    <w:rsid w:val="00B03372"/>
    <w:rsid w:val="00B20EE0"/>
    <w:rsid w:val="00B24730"/>
    <w:rsid w:val="00B31157"/>
    <w:rsid w:val="00B314E4"/>
    <w:rsid w:val="00B32806"/>
    <w:rsid w:val="00B36CAD"/>
    <w:rsid w:val="00B40DB4"/>
    <w:rsid w:val="00B41728"/>
    <w:rsid w:val="00B4188A"/>
    <w:rsid w:val="00B42644"/>
    <w:rsid w:val="00B428B3"/>
    <w:rsid w:val="00B436AE"/>
    <w:rsid w:val="00B55CF7"/>
    <w:rsid w:val="00B573B4"/>
    <w:rsid w:val="00B57980"/>
    <w:rsid w:val="00B64B58"/>
    <w:rsid w:val="00B6594C"/>
    <w:rsid w:val="00B847AD"/>
    <w:rsid w:val="00B9579A"/>
    <w:rsid w:val="00BA55E8"/>
    <w:rsid w:val="00BA6614"/>
    <w:rsid w:val="00BB1EAC"/>
    <w:rsid w:val="00BB3A8B"/>
    <w:rsid w:val="00BC1409"/>
    <w:rsid w:val="00BD1CEF"/>
    <w:rsid w:val="00BD6CA4"/>
    <w:rsid w:val="00BD7536"/>
    <w:rsid w:val="00BD7565"/>
    <w:rsid w:val="00BE2BE5"/>
    <w:rsid w:val="00BE4F06"/>
    <w:rsid w:val="00BF1509"/>
    <w:rsid w:val="00BF3E6D"/>
    <w:rsid w:val="00C06748"/>
    <w:rsid w:val="00C146BB"/>
    <w:rsid w:val="00C250D8"/>
    <w:rsid w:val="00C32EC9"/>
    <w:rsid w:val="00C36B0C"/>
    <w:rsid w:val="00C55792"/>
    <w:rsid w:val="00C55E87"/>
    <w:rsid w:val="00C5794B"/>
    <w:rsid w:val="00C61000"/>
    <w:rsid w:val="00C61E65"/>
    <w:rsid w:val="00C640A8"/>
    <w:rsid w:val="00C65910"/>
    <w:rsid w:val="00C65B88"/>
    <w:rsid w:val="00C67535"/>
    <w:rsid w:val="00C74E12"/>
    <w:rsid w:val="00C75560"/>
    <w:rsid w:val="00C75C24"/>
    <w:rsid w:val="00C831DB"/>
    <w:rsid w:val="00C864BC"/>
    <w:rsid w:val="00C955DC"/>
    <w:rsid w:val="00C97810"/>
    <w:rsid w:val="00CB2251"/>
    <w:rsid w:val="00CB4DBC"/>
    <w:rsid w:val="00CC4E40"/>
    <w:rsid w:val="00CC539F"/>
    <w:rsid w:val="00CC5702"/>
    <w:rsid w:val="00CC5FEE"/>
    <w:rsid w:val="00CD53CE"/>
    <w:rsid w:val="00CD6D59"/>
    <w:rsid w:val="00CE487D"/>
    <w:rsid w:val="00CF3992"/>
    <w:rsid w:val="00CF61FE"/>
    <w:rsid w:val="00CF7BFC"/>
    <w:rsid w:val="00D00481"/>
    <w:rsid w:val="00D009F1"/>
    <w:rsid w:val="00D04873"/>
    <w:rsid w:val="00D1122C"/>
    <w:rsid w:val="00D11723"/>
    <w:rsid w:val="00D17032"/>
    <w:rsid w:val="00D21D02"/>
    <w:rsid w:val="00D2309D"/>
    <w:rsid w:val="00D340E2"/>
    <w:rsid w:val="00D350F9"/>
    <w:rsid w:val="00D459A2"/>
    <w:rsid w:val="00D47AD7"/>
    <w:rsid w:val="00D52B6C"/>
    <w:rsid w:val="00D65403"/>
    <w:rsid w:val="00D673BC"/>
    <w:rsid w:val="00D76909"/>
    <w:rsid w:val="00D77E9E"/>
    <w:rsid w:val="00D81B60"/>
    <w:rsid w:val="00D90501"/>
    <w:rsid w:val="00D91797"/>
    <w:rsid w:val="00D94B8B"/>
    <w:rsid w:val="00D951B1"/>
    <w:rsid w:val="00D961DF"/>
    <w:rsid w:val="00D97995"/>
    <w:rsid w:val="00DA2FEF"/>
    <w:rsid w:val="00DA3BC3"/>
    <w:rsid w:val="00DA62B0"/>
    <w:rsid w:val="00DB6E5C"/>
    <w:rsid w:val="00DC03F7"/>
    <w:rsid w:val="00DC351B"/>
    <w:rsid w:val="00DE249B"/>
    <w:rsid w:val="00DE5547"/>
    <w:rsid w:val="00DE6F21"/>
    <w:rsid w:val="00DF1322"/>
    <w:rsid w:val="00E00C8B"/>
    <w:rsid w:val="00E030A5"/>
    <w:rsid w:val="00E04CC8"/>
    <w:rsid w:val="00E07FBB"/>
    <w:rsid w:val="00E106F3"/>
    <w:rsid w:val="00E10EFD"/>
    <w:rsid w:val="00E111CD"/>
    <w:rsid w:val="00E124D6"/>
    <w:rsid w:val="00E15EB5"/>
    <w:rsid w:val="00E16094"/>
    <w:rsid w:val="00E16F9E"/>
    <w:rsid w:val="00E27426"/>
    <w:rsid w:val="00E42F9F"/>
    <w:rsid w:val="00E45050"/>
    <w:rsid w:val="00E65091"/>
    <w:rsid w:val="00E70E3F"/>
    <w:rsid w:val="00E710C3"/>
    <w:rsid w:val="00E71B40"/>
    <w:rsid w:val="00E73264"/>
    <w:rsid w:val="00E75C98"/>
    <w:rsid w:val="00E763EB"/>
    <w:rsid w:val="00E76856"/>
    <w:rsid w:val="00E8119A"/>
    <w:rsid w:val="00E83847"/>
    <w:rsid w:val="00E8595D"/>
    <w:rsid w:val="00E938E0"/>
    <w:rsid w:val="00E95632"/>
    <w:rsid w:val="00EA356C"/>
    <w:rsid w:val="00EA3FE8"/>
    <w:rsid w:val="00EA5D30"/>
    <w:rsid w:val="00EB52CE"/>
    <w:rsid w:val="00EE3C09"/>
    <w:rsid w:val="00EE607B"/>
    <w:rsid w:val="00EF32DC"/>
    <w:rsid w:val="00EF5DAF"/>
    <w:rsid w:val="00F0276E"/>
    <w:rsid w:val="00F06D88"/>
    <w:rsid w:val="00F10B01"/>
    <w:rsid w:val="00F1329C"/>
    <w:rsid w:val="00F15C2D"/>
    <w:rsid w:val="00F22D2A"/>
    <w:rsid w:val="00F23C48"/>
    <w:rsid w:val="00F26944"/>
    <w:rsid w:val="00F3388F"/>
    <w:rsid w:val="00F417EB"/>
    <w:rsid w:val="00F420D7"/>
    <w:rsid w:val="00F443B8"/>
    <w:rsid w:val="00F5132F"/>
    <w:rsid w:val="00F5363D"/>
    <w:rsid w:val="00F62F7B"/>
    <w:rsid w:val="00F71336"/>
    <w:rsid w:val="00F71715"/>
    <w:rsid w:val="00F7334D"/>
    <w:rsid w:val="00F760B9"/>
    <w:rsid w:val="00F76D55"/>
    <w:rsid w:val="00F847D6"/>
    <w:rsid w:val="00F86095"/>
    <w:rsid w:val="00F9290C"/>
    <w:rsid w:val="00F96CEA"/>
    <w:rsid w:val="00FA0E71"/>
    <w:rsid w:val="00FB4086"/>
    <w:rsid w:val="00FB50CD"/>
    <w:rsid w:val="00FD13C2"/>
    <w:rsid w:val="00FD50C4"/>
    <w:rsid w:val="00FE1ADF"/>
    <w:rsid w:val="00FE2996"/>
    <w:rsid w:val="00FE33F6"/>
    <w:rsid w:val="00FE37CD"/>
    <w:rsid w:val="00FE5C22"/>
    <w:rsid w:val="00FE7B5D"/>
    <w:rsid w:val="00FF21F7"/>
    <w:rsid w:val="00FF43F2"/>
    <w:rsid w:val="00FF4A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5C100"/>
  <w15:docId w15:val="{DE90FF42-BFC7-4E9A-9111-723BD7943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91797"/>
  </w:style>
  <w:style w:type="paragraph" w:styleId="1">
    <w:name w:val="heading 1"/>
    <w:basedOn w:val="a0"/>
    <w:next w:val="a0"/>
    <w:link w:val="10"/>
    <w:uiPriority w:val="9"/>
    <w:qFormat/>
    <w:rsid w:val="00CC5FE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CC5FE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CC5FE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8740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0"/>
    <w:link w:val="a6"/>
    <w:uiPriority w:val="99"/>
    <w:semiHidden/>
    <w:unhideWhenUsed/>
    <w:rsid w:val="0087403A"/>
    <w:pPr>
      <w:spacing w:after="0" w:line="240" w:lineRule="auto"/>
    </w:pPr>
    <w:rPr>
      <w:sz w:val="20"/>
      <w:szCs w:val="20"/>
    </w:rPr>
  </w:style>
  <w:style w:type="character" w:customStyle="1" w:styleId="a6">
    <w:name w:val="Текст сноски Знак"/>
    <w:basedOn w:val="a1"/>
    <w:link w:val="a5"/>
    <w:uiPriority w:val="99"/>
    <w:semiHidden/>
    <w:rsid w:val="0087403A"/>
    <w:rPr>
      <w:sz w:val="20"/>
      <w:szCs w:val="20"/>
    </w:rPr>
  </w:style>
  <w:style w:type="character" w:styleId="a7">
    <w:name w:val="footnote reference"/>
    <w:basedOn w:val="a1"/>
    <w:uiPriority w:val="99"/>
    <w:semiHidden/>
    <w:unhideWhenUsed/>
    <w:rsid w:val="0087403A"/>
    <w:rPr>
      <w:vertAlign w:val="superscript"/>
    </w:rPr>
  </w:style>
  <w:style w:type="paragraph" w:styleId="a8">
    <w:name w:val="List Paragraph"/>
    <w:basedOn w:val="a0"/>
    <w:uiPriority w:val="34"/>
    <w:qFormat/>
    <w:rsid w:val="0087403A"/>
    <w:pPr>
      <w:ind w:left="720"/>
      <w:contextualSpacing/>
    </w:pPr>
  </w:style>
  <w:style w:type="character" w:styleId="a9">
    <w:name w:val="annotation reference"/>
    <w:basedOn w:val="a1"/>
    <w:uiPriority w:val="99"/>
    <w:unhideWhenUsed/>
    <w:rsid w:val="0073444D"/>
    <w:rPr>
      <w:sz w:val="16"/>
      <w:szCs w:val="16"/>
    </w:rPr>
  </w:style>
  <w:style w:type="paragraph" w:styleId="aa">
    <w:name w:val="annotation text"/>
    <w:basedOn w:val="a0"/>
    <w:link w:val="ab"/>
    <w:uiPriority w:val="99"/>
    <w:unhideWhenUsed/>
    <w:rsid w:val="0073444D"/>
    <w:pPr>
      <w:spacing w:line="240" w:lineRule="auto"/>
    </w:pPr>
    <w:rPr>
      <w:sz w:val="20"/>
      <w:szCs w:val="20"/>
    </w:rPr>
  </w:style>
  <w:style w:type="character" w:customStyle="1" w:styleId="ab">
    <w:name w:val="Текст примечания Знак"/>
    <w:basedOn w:val="a1"/>
    <w:link w:val="aa"/>
    <w:uiPriority w:val="99"/>
    <w:rsid w:val="0073444D"/>
    <w:rPr>
      <w:sz w:val="20"/>
      <w:szCs w:val="20"/>
    </w:rPr>
  </w:style>
  <w:style w:type="table" w:customStyle="1" w:styleId="18">
    <w:name w:val="Сетка таблицы18"/>
    <w:basedOn w:val="a2"/>
    <w:next w:val="a4"/>
    <w:uiPriority w:val="59"/>
    <w:rsid w:val="007344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73444D"/>
    <w:pPr>
      <w:spacing w:after="0" w:line="240" w:lineRule="auto"/>
    </w:pPr>
    <w:rPr>
      <w:rFonts w:ascii="Tahoma" w:hAnsi="Tahoma" w:cs="Tahoma"/>
      <w:sz w:val="16"/>
      <w:szCs w:val="16"/>
    </w:rPr>
  </w:style>
  <w:style w:type="character" w:customStyle="1" w:styleId="ad">
    <w:name w:val="Текст выноски Знак"/>
    <w:basedOn w:val="a1"/>
    <w:link w:val="ac"/>
    <w:uiPriority w:val="99"/>
    <w:semiHidden/>
    <w:rsid w:val="0073444D"/>
    <w:rPr>
      <w:rFonts w:ascii="Tahoma" w:hAnsi="Tahoma" w:cs="Tahoma"/>
      <w:sz w:val="16"/>
      <w:szCs w:val="16"/>
    </w:rPr>
  </w:style>
  <w:style w:type="table" w:customStyle="1" w:styleId="6">
    <w:name w:val="Сетка таблицы6"/>
    <w:basedOn w:val="a2"/>
    <w:next w:val="a4"/>
    <w:uiPriority w:val="59"/>
    <w:rsid w:val="007344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2"/>
    <w:next w:val="a4"/>
    <w:uiPriority w:val="59"/>
    <w:rsid w:val="00481C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Нумерация таблиц"/>
    <w:basedOn w:val="a0"/>
    <w:rsid w:val="00481C05"/>
    <w:pPr>
      <w:numPr>
        <w:numId w:val="2"/>
      </w:numPr>
      <w:spacing w:after="0" w:line="240" w:lineRule="auto"/>
      <w:contextualSpacing/>
    </w:pPr>
    <w:rPr>
      <w:rFonts w:ascii="Times New Roman" w:hAnsi="Times New Roman" w:cs="Times New Roman"/>
      <w:lang w:val="en-US"/>
    </w:rPr>
  </w:style>
  <w:style w:type="character" w:customStyle="1" w:styleId="10">
    <w:name w:val="Заголовок 1 Знак"/>
    <w:basedOn w:val="a1"/>
    <w:link w:val="1"/>
    <w:uiPriority w:val="9"/>
    <w:rsid w:val="00CC5FEE"/>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uiPriority w:val="9"/>
    <w:rsid w:val="00CC5FE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uiPriority w:val="9"/>
    <w:rsid w:val="00CC5FEE"/>
    <w:rPr>
      <w:rFonts w:asciiTheme="majorHAnsi" w:eastAsiaTheme="majorEastAsia" w:hAnsiTheme="majorHAnsi" w:cstheme="majorBidi"/>
      <w:b/>
      <w:bCs/>
      <w:color w:val="4F81BD" w:themeColor="accent1"/>
    </w:rPr>
  </w:style>
  <w:style w:type="paragraph" w:styleId="ae">
    <w:name w:val="header"/>
    <w:basedOn w:val="a0"/>
    <w:link w:val="af"/>
    <w:uiPriority w:val="99"/>
    <w:unhideWhenUsed/>
    <w:rsid w:val="00FF4A8B"/>
    <w:pPr>
      <w:tabs>
        <w:tab w:val="center" w:pos="4677"/>
        <w:tab w:val="right" w:pos="9355"/>
      </w:tabs>
      <w:spacing w:after="0" w:line="240" w:lineRule="auto"/>
    </w:pPr>
  </w:style>
  <w:style w:type="character" w:customStyle="1" w:styleId="af">
    <w:name w:val="Верхний колонтитул Знак"/>
    <w:basedOn w:val="a1"/>
    <w:link w:val="ae"/>
    <w:uiPriority w:val="99"/>
    <w:rsid w:val="00FF4A8B"/>
  </w:style>
  <w:style w:type="paragraph" w:styleId="af0">
    <w:name w:val="footer"/>
    <w:basedOn w:val="a0"/>
    <w:link w:val="af1"/>
    <w:uiPriority w:val="99"/>
    <w:unhideWhenUsed/>
    <w:rsid w:val="00FF4A8B"/>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FF4A8B"/>
  </w:style>
  <w:style w:type="paragraph" w:styleId="af2">
    <w:name w:val="Revision"/>
    <w:hidden/>
    <w:uiPriority w:val="99"/>
    <w:semiHidden/>
    <w:rsid w:val="00BD1CEF"/>
    <w:pPr>
      <w:spacing w:after="0" w:line="240" w:lineRule="auto"/>
    </w:pPr>
  </w:style>
  <w:style w:type="table" w:customStyle="1" w:styleId="11">
    <w:name w:val="Сетка таблицы1"/>
    <w:basedOn w:val="a2"/>
    <w:next w:val="a4"/>
    <w:uiPriority w:val="59"/>
    <w:rsid w:val="00980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2"/>
    <w:basedOn w:val="a2"/>
    <w:next w:val="a4"/>
    <w:uiPriority w:val="59"/>
    <w:rsid w:val="002868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4"/>
    <w:uiPriority w:val="59"/>
    <w:rsid w:val="002868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2"/>
    <w:next w:val="a4"/>
    <w:uiPriority w:val="59"/>
    <w:rsid w:val="00896D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2"/>
    <w:next w:val="a4"/>
    <w:uiPriority w:val="59"/>
    <w:rsid w:val="00D917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266632">
      <w:bodyDiv w:val="1"/>
      <w:marLeft w:val="0"/>
      <w:marRight w:val="0"/>
      <w:marTop w:val="0"/>
      <w:marBottom w:val="0"/>
      <w:divBdr>
        <w:top w:val="none" w:sz="0" w:space="0" w:color="auto"/>
        <w:left w:val="none" w:sz="0" w:space="0" w:color="auto"/>
        <w:bottom w:val="none" w:sz="0" w:space="0" w:color="auto"/>
        <w:right w:val="none" w:sz="0" w:space="0" w:color="auto"/>
      </w:divBdr>
    </w:div>
    <w:div w:id="514541220">
      <w:bodyDiv w:val="1"/>
      <w:marLeft w:val="0"/>
      <w:marRight w:val="0"/>
      <w:marTop w:val="0"/>
      <w:marBottom w:val="0"/>
      <w:divBdr>
        <w:top w:val="none" w:sz="0" w:space="0" w:color="auto"/>
        <w:left w:val="none" w:sz="0" w:space="0" w:color="auto"/>
        <w:bottom w:val="none" w:sz="0" w:space="0" w:color="auto"/>
        <w:right w:val="none" w:sz="0" w:space="0" w:color="auto"/>
      </w:divBdr>
    </w:div>
    <w:div w:id="763303731">
      <w:bodyDiv w:val="1"/>
      <w:marLeft w:val="0"/>
      <w:marRight w:val="0"/>
      <w:marTop w:val="0"/>
      <w:marBottom w:val="0"/>
      <w:divBdr>
        <w:top w:val="none" w:sz="0" w:space="0" w:color="auto"/>
        <w:left w:val="none" w:sz="0" w:space="0" w:color="auto"/>
        <w:bottom w:val="none" w:sz="0" w:space="0" w:color="auto"/>
        <w:right w:val="none" w:sz="0" w:space="0" w:color="auto"/>
      </w:divBdr>
    </w:div>
    <w:div w:id="795828152">
      <w:bodyDiv w:val="1"/>
      <w:marLeft w:val="0"/>
      <w:marRight w:val="0"/>
      <w:marTop w:val="0"/>
      <w:marBottom w:val="0"/>
      <w:divBdr>
        <w:top w:val="none" w:sz="0" w:space="0" w:color="auto"/>
        <w:left w:val="none" w:sz="0" w:space="0" w:color="auto"/>
        <w:bottom w:val="none" w:sz="0" w:space="0" w:color="auto"/>
        <w:right w:val="none" w:sz="0" w:space="0" w:color="auto"/>
      </w:divBdr>
    </w:div>
    <w:div w:id="852955849">
      <w:bodyDiv w:val="1"/>
      <w:marLeft w:val="0"/>
      <w:marRight w:val="0"/>
      <w:marTop w:val="0"/>
      <w:marBottom w:val="0"/>
      <w:divBdr>
        <w:top w:val="none" w:sz="0" w:space="0" w:color="auto"/>
        <w:left w:val="none" w:sz="0" w:space="0" w:color="auto"/>
        <w:bottom w:val="none" w:sz="0" w:space="0" w:color="auto"/>
        <w:right w:val="none" w:sz="0" w:space="0" w:color="auto"/>
      </w:divBdr>
    </w:div>
    <w:div w:id="1131509509">
      <w:bodyDiv w:val="1"/>
      <w:marLeft w:val="0"/>
      <w:marRight w:val="0"/>
      <w:marTop w:val="0"/>
      <w:marBottom w:val="0"/>
      <w:divBdr>
        <w:top w:val="none" w:sz="0" w:space="0" w:color="auto"/>
        <w:left w:val="none" w:sz="0" w:space="0" w:color="auto"/>
        <w:bottom w:val="none" w:sz="0" w:space="0" w:color="auto"/>
        <w:right w:val="none" w:sz="0" w:space="0" w:color="auto"/>
      </w:divBdr>
    </w:div>
    <w:div w:id="1261446978">
      <w:bodyDiv w:val="1"/>
      <w:marLeft w:val="0"/>
      <w:marRight w:val="0"/>
      <w:marTop w:val="0"/>
      <w:marBottom w:val="0"/>
      <w:divBdr>
        <w:top w:val="none" w:sz="0" w:space="0" w:color="auto"/>
        <w:left w:val="none" w:sz="0" w:space="0" w:color="auto"/>
        <w:bottom w:val="none" w:sz="0" w:space="0" w:color="auto"/>
        <w:right w:val="none" w:sz="0" w:space="0" w:color="auto"/>
      </w:divBdr>
    </w:div>
    <w:div w:id="1599682316">
      <w:bodyDiv w:val="1"/>
      <w:marLeft w:val="0"/>
      <w:marRight w:val="0"/>
      <w:marTop w:val="0"/>
      <w:marBottom w:val="0"/>
      <w:divBdr>
        <w:top w:val="none" w:sz="0" w:space="0" w:color="auto"/>
        <w:left w:val="none" w:sz="0" w:space="0" w:color="auto"/>
        <w:bottom w:val="none" w:sz="0" w:space="0" w:color="auto"/>
        <w:right w:val="none" w:sz="0" w:space="0" w:color="auto"/>
      </w:divBdr>
    </w:div>
    <w:div w:id="1798257572">
      <w:bodyDiv w:val="1"/>
      <w:marLeft w:val="0"/>
      <w:marRight w:val="0"/>
      <w:marTop w:val="0"/>
      <w:marBottom w:val="0"/>
      <w:divBdr>
        <w:top w:val="none" w:sz="0" w:space="0" w:color="auto"/>
        <w:left w:val="none" w:sz="0" w:space="0" w:color="auto"/>
        <w:bottom w:val="none" w:sz="0" w:space="0" w:color="auto"/>
        <w:right w:val="none" w:sz="0" w:space="0" w:color="auto"/>
      </w:divBdr>
    </w:div>
    <w:div w:id="185106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752FAE4783B54C87C032B15FF8A851" ma:contentTypeVersion="1" ma:contentTypeDescription="Создание документа." ma:contentTypeScope="" ma:versionID="010a618a64360359b97abe3d261e6286">
  <xsd:schema xmlns:xsd="http://www.w3.org/2001/XMLSchema" xmlns:xs="http://www.w3.org/2001/XMLSchema" xmlns:p="http://schemas.microsoft.com/office/2006/metadata/properties" targetNamespace="http://schemas.microsoft.com/office/2006/metadata/properties" ma:root="true" ma:fieldsID="77358073ea71743665a0b7905d68c52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ma:index="8" ma:displayName="Заметки"/>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72846-E887-42DA-B913-952DB188F166}">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www.w3.org/XML/1998/namespace"/>
  </ds:schemaRefs>
</ds:datastoreItem>
</file>

<file path=customXml/itemProps2.xml><?xml version="1.0" encoding="utf-8"?>
<ds:datastoreItem xmlns:ds="http://schemas.openxmlformats.org/officeDocument/2006/customXml" ds:itemID="{A02C4046-8DAF-4ABD-BA9D-C67B6885FE93}">
  <ds:schemaRefs>
    <ds:schemaRef ds:uri="http://schemas.microsoft.com/sharepoint/v3/contenttype/forms"/>
  </ds:schemaRefs>
</ds:datastoreItem>
</file>

<file path=customXml/itemProps3.xml><?xml version="1.0" encoding="utf-8"?>
<ds:datastoreItem xmlns:ds="http://schemas.openxmlformats.org/officeDocument/2006/customXml" ds:itemID="{CD5E7607-1D5D-4FCE-87E5-C18B56EC3A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8A14FE7-E17A-4089-B7C8-51501302B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7914</TotalTime>
  <Pages>5</Pages>
  <Words>1186</Words>
  <Characters>6761</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nsd</Company>
  <LinksUpToDate>false</LinksUpToDate>
  <CharactersWithSpaces>7932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Изм.2_Ермаков</dc:creator>
  <cp:lastModifiedBy>Изм.28_Ермаков А.В.</cp:lastModifiedBy>
  <cp:revision>144</cp:revision>
  <dcterms:created xsi:type="dcterms:W3CDTF">2021-04-16T11:38:00Z</dcterms:created>
  <dcterms:modified xsi:type="dcterms:W3CDTF">2024-06-20T17:31:00Z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0x0101004B752FAE4783B54C87C032B15FF8A851</vt:lpwstr>
  </property>
</Properties>
</file>